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  <w:jc w:val="center"/>
      </w:pPr>
      <w:r>
        <w:rPr>
          <w:rFonts w:ascii="Georgia" w:cs="Georgia" w:eastAsia="Georgia" w:hAnsi="Georgia"/>
          <w:b/>
          <w:bCs/>
          <w:color w:val="1F3B57"/>
          <w:sz w:val="32"/>
          <w:szCs w:val="32"/>
        </w:rPr>
        <w:t xml:space="preserve">NIGERIA MEDICARE CITY</w:t>
      </w:r>
    </w:p>
    <w:p>
      <w:pPr>
        <w:pBdr>
          <w:bottom w:val="single" w:color="8A6D1F" w:sz="6" w:space="6"/>
        </w:pBdr>
        <w:spacing w:after="240"/>
        <w:jc w:val="center"/>
      </w:pPr>
      <w:r>
        <w:rPr>
          <w:rFonts w:ascii="Georgia" w:cs="Georgia" w:eastAsia="Georgia" w:hAnsi="Georgia"/>
          <w:b/>
          <w:bCs/>
          <w:color w:val="8A6D1F"/>
          <w:sz w:val="24"/>
          <w:szCs w:val="24"/>
        </w:rPr>
        <w:t xml:space="preserve">Proposed Partnership Term Sheet — State of the African Diaspora (SOAD)</w:t>
      </w:r>
    </w:p>
    <w:p>
      <w:pPr>
        <w:spacing w:after="160" w:line="276"/>
        <w:jc w:val="both"/>
      </w:pPr>
      <w:r>
        <w:rPr>
          <w:rFonts w:ascii="Georgia" w:cs="Georgia" w:eastAsia="Georgia" w:hAnsi="Georgia"/>
          <w:sz w:val="22"/>
          <w:szCs w:val="22"/>
        </w:rPr>
        <w:t xml:space="preserve">This indicative, non-binding term sheet summarizes the partnership proposed between the State of the African Diaspora (“SOAD”) and the project development consortium represented by Dr. Korede Olumide Oluwatuyi (“the Sponsors”), and — upon execution of the PPDP agreements — the Federal partners, for the development of the Nigeria Medicare City (“the Project”). It is a basis for negotiation only; no obligations arise except under definitive agreements.</w:t>
      </w:r>
    </w:p>
    <w:tbl>
      <w:tblPr>
        <w:tblW w:type="dxa" w:w="96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800"/>
        <w:gridCol w:w="6800"/>
      </w:tblGrid>
      <w:tr>
        <w:tc>
          <w:tcPr>
            <w:tcW w:type="dxa" w:w="2800"/>
            <w:shd w:fill="1F3B57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rFonts w:ascii="Georgia" w:cs="Georgia" w:eastAsia="Georgia" w:hAnsi="Georgia"/>
                <w:b/>
                <w:bCs/>
                <w:color w:val="FFFFFF"/>
                <w:sz w:val="20"/>
                <w:szCs w:val="20"/>
              </w:rPr>
              <w:t xml:space="preserve">Term</w:t>
            </w:r>
          </w:p>
        </w:tc>
        <w:tc>
          <w:tcPr>
            <w:tcW w:type="dxa" w:w="6800"/>
            <w:shd w:fill="1F3B57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rFonts w:ascii="Georgia" w:cs="Georgia" w:eastAsia="Georgia" w:hAnsi="Georgia"/>
                <w:b/>
                <w:bCs/>
                <w:color w:val="FFFFFF"/>
                <w:sz w:val="20"/>
                <w:szCs w:val="20"/>
              </w:rPr>
              <w:t xml:space="preserve">Proposed Provision</w:t>
            </w:r>
          </w:p>
        </w:tc>
      </w:tr>
      <w:tr>
        <w:tc>
          <w:tcPr>
            <w:tcW w:type="dxa" w:w="28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rFonts w:ascii="Georgia" w:cs="Georgia" w:eastAsia="Georgia" w:hAnsi="Georgia"/>
                <w:b w:val="false"/>
                <w:bCs w:val="false"/>
                <w:color w:val="000000"/>
                <w:sz w:val="20"/>
                <w:szCs w:val="20"/>
              </w:rPr>
              <w:t xml:space="preserve">Parties</w:t>
            </w:r>
          </w:p>
        </w:tc>
        <w:tc>
          <w:tcPr>
            <w:tcW w:type="dxa" w:w="68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rFonts w:ascii="Georgia" w:cs="Georgia" w:eastAsia="Georgia" w:hAnsi="Georgia"/>
                <w:b w:val="false"/>
                <w:bCs w:val="false"/>
                <w:color w:val="000000"/>
                <w:sz w:val="20"/>
                <w:szCs w:val="20"/>
              </w:rPr>
              <w:t xml:space="preserve">SOAD; the Sponsors; NMC Development Company (SPV, to be incorporated); Office of the Wife of the President of the Federal Republic of Nigeria and the Federal Capital Territory Administration (under the PPDP agreements)</w:t>
            </w:r>
          </w:p>
        </w:tc>
      </w:tr>
      <w:tr>
        <w:tc>
          <w:tcPr>
            <w:tcW w:type="dxa" w:w="2800"/>
            <w:shd w:fill="F2F2F2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rFonts w:ascii="Georgia" w:cs="Georgia" w:eastAsia="Georgia" w:hAnsi="Georgia"/>
                <w:b w:val="false"/>
                <w:bCs w:val="false"/>
                <w:color w:val="000000"/>
                <w:sz w:val="20"/>
                <w:szCs w:val="20"/>
              </w:rPr>
              <w:t xml:space="preserve">SOAD role</w:t>
            </w:r>
          </w:p>
        </w:tc>
        <w:tc>
          <w:tcPr>
            <w:tcW w:type="dxa" w:w="6800"/>
            <w:shd w:fill="F2F2F2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rFonts w:ascii="Georgia" w:cs="Georgia" w:eastAsia="Georgia" w:hAnsi="Georgia"/>
                <w:b w:val="false"/>
                <w:bCs w:val="false"/>
                <w:color w:val="000000"/>
                <w:sz w:val="20"/>
                <w:szCs w:val="20"/>
              </w:rPr>
              <w:t xml:space="preserve">Anchor funding partner; Diaspora capital mobilizer; convener with continental institutions and DFIs; governance participant; patron of the Diaspora Medical Corps and twinning programmes</w:t>
            </w:r>
          </w:p>
        </w:tc>
      </w:tr>
      <w:tr>
        <w:tc>
          <w:tcPr>
            <w:tcW w:type="dxa" w:w="28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rFonts w:ascii="Georgia" w:cs="Georgia" w:eastAsia="Georgia" w:hAnsi="Georgia"/>
                <w:b w:val="false"/>
                <w:bCs w:val="false"/>
                <w:color w:val="000000"/>
                <w:sz w:val="20"/>
                <w:szCs w:val="20"/>
              </w:rPr>
              <w:t xml:space="preserve">Anchor commitment</w:t>
            </w:r>
          </w:p>
        </w:tc>
        <w:tc>
          <w:tcPr>
            <w:tcW w:type="dxa" w:w="68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rFonts w:ascii="Georgia" w:cs="Georgia" w:eastAsia="Georgia" w:hAnsi="Georgia"/>
                <w:b w:val="false"/>
                <w:bCs w:val="false"/>
                <w:color w:val="000000"/>
                <w:sz w:val="20"/>
                <w:szCs w:val="20"/>
              </w:rPr>
              <w:t xml:space="preserve">Indicatively 12.5% of total project sources (~US$240m at mid-case), by direct investment and/or funds mobilized under SOAD sponsorship, committed in tranches matched to Phases 0–2; the anchor commitment is a condition precedent to public launch of the Diaspora Bond Programme</w:t>
            </w:r>
          </w:p>
        </w:tc>
      </w:tr>
      <w:tr>
        <w:tc>
          <w:tcPr>
            <w:tcW w:type="dxa" w:w="2800"/>
            <w:shd w:fill="F2F2F2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rFonts w:ascii="Georgia" w:cs="Georgia" w:eastAsia="Georgia" w:hAnsi="Georgia"/>
                <w:b w:val="false"/>
                <w:bCs w:val="false"/>
                <w:color w:val="000000"/>
                <w:sz w:val="20"/>
                <w:szCs w:val="20"/>
              </w:rPr>
              <w:t xml:space="preserve">Bond endorsement</w:t>
            </w:r>
          </w:p>
        </w:tc>
        <w:tc>
          <w:tcPr>
            <w:tcW w:type="dxa" w:w="6800"/>
            <w:shd w:fill="F2F2F2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rFonts w:ascii="Georgia" w:cs="Georgia" w:eastAsia="Georgia" w:hAnsi="Georgia"/>
                <w:b w:val="false"/>
                <w:bCs w:val="false"/>
                <w:color w:val="000000"/>
                <w:sz w:val="20"/>
                <w:szCs w:val="20"/>
              </w:rPr>
              <w:t xml:space="preserve">SOAD formally endorses the NMC Diaspora Bond Programme and provides marketing access through its ministries, embassies and partner organisations; all issuance exclusively through regulated channels with an independent trustee</w:t>
            </w:r>
          </w:p>
        </w:tc>
      </w:tr>
      <w:tr>
        <w:tc>
          <w:tcPr>
            <w:tcW w:type="dxa" w:w="28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rFonts w:ascii="Georgia" w:cs="Georgia" w:eastAsia="Georgia" w:hAnsi="Georgia"/>
                <w:b w:val="false"/>
                <w:bCs w:val="false"/>
                <w:color w:val="000000"/>
                <w:sz w:val="20"/>
                <w:szCs w:val="20"/>
              </w:rPr>
              <w:t xml:space="preserve">Governance rights</w:t>
            </w:r>
          </w:p>
        </w:tc>
        <w:tc>
          <w:tcPr>
            <w:tcW w:type="dxa" w:w="68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rFonts w:ascii="Georgia" w:cs="Georgia" w:eastAsia="Georgia" w:hAnsi="Georgia"/>
                <w:b w:val="false"/>
                <w:bCs w:val="false"/>
                <w:color w:val="000000"/>
                <w:sz w:val="20"/>
                <w:szCs w:val="20"/>
              </w:rPr>
              <w:t xml:space="preserve">Two seats on the SPV Board (of a Board of nine to eleven); one trustee on the Community Health Endowment Fund; membership of the Nominations and the Community &amp; Endowment committees; reserved-matter consent rights protecting mission items (Endowment charter, Diaspora Medical Corps, accreditation commitment)</w:t>
            </w:r>
          </w:p>
        </w:tc>
      </w:tr>
      <w:tr>
        <w:tc>
          <w:tcPr>
            <w:tcW w:type="dxa" w:w="2800"/>
            <w:shd w:fill="F2F2F2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rFonts w:ascii="Georgia" w:cs="Georgia" w:eastAsia="Georgia" w:hAnsi="Georgia"/>
                <w:b w:val="false"/>
                <w:bCs w:val="false"/>
                <w:color w:val="000000"/>
                <w:sz w:val="20"/>
                <w:szCs w:val="20"/>
              </w:rPr>
              <w:t xml:space="preserve">Economic rights</w:t>
            </w:r>
          </w:p>
        </w:tc>
        <w:tc>
          <w:tcPr>
            <w:tcW w:type="dxa" w:w="6800"/>
            <w:shd w:fill="F2F2F2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rFonts w:ascii="Georgia" w:cs="Georgia" w:eastAsia="Georgia" w:hAnsi="Georgia"/>
                <w:b w:val="false"/>
                <w:bCs w:val="false"/>
                <w:color w:val="000000"/>
                <w:sz w:val="20"/>
                <w:szCs w:val="20"/>
              </w:rPr>
              <w:t xml:space="preserve">Anchor equity ranks pari passu with sponsor equity; pre-emption and anti-dilution on future rounds; dividend policy per shareholders' agreement after debt-service thresholds</w:t>
            </w:r>
          </w:p>
        </w:tc>
      </w:tr>
      <w:tr>
        <w:tc>
          <w:tcPr>
            <w:tcW w:type="dxa" w:w="28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rFonts w:ascii="Georgia" w:cs="Georgia" w:eastAsia="Georgia" w:hAnsi="Georgia"/>
                <w:b w:val="false"/>
                <w:bCs w:val="false"/>
                <w:color w:val="000000"/>
                <w:sz w:val="20"/>
                <w:szCs w:val="20"/>
              </w:rPr>
              <w:t xml:space="preserve">Diaspora programmes</w:t>
            </w:r>
          </w:p>
        </w:tc>
        <w:tc>
          <w:tcPr>
            <w:tcW w:type="dxa" w:w="68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rFonts w:ascii="Georgia" w:cs="Georgia" w:eastAsia="Georgia" w:hAnsi="Georgia"/>
                <w:b w:val="false"/>
                <w:bCs w:val="false"/>
                <w:color w:val="000000"/>
                <w:sz w:val="20"/>
                <w:szCs w:val="20"/>
              </w:rPr>
              <w:t xml:space="preserve">Joint establishment of the Diaspora Medical Corps, Diaspora scholarship quotas, twinning agreements and the Endowment giving channel, each under a programme charter annexed to the definitive agreements</w:t>
            </w:r>
          </w:p>
        </w:tc>
      </w:tr>
      <w:tr>
        <w:tc>
          <w:tcPr>
            <w:tcW w:type="dxa" w:w="2800"/>
            <w:shd w:fill="F2F2F2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rFonts w:ascii="Georgia" w:cs="Georgia" w:eastAsia="Georgia" w:hAnsi="Georgia"/>
                <w:b w:val="false"/>
                <w:bCs w:val="false"/>
                <w:color w:val="000000"/>
                <w:sz w:val="20"/>
                <w:szCs w:val="20"/>
              </w:rPr>
              <w:t xml:space="preserve">Conditions precedent</w:t>
            </w:r>
          </w:p>
        </w:tc>
        <w:tc>
          <w:tcPr>
            <w:tcW w:type="dxa" w:w="6800"/>
            <w:shd w:fill="F2F2F2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rFonts w:ascii="Georgia" w:cs="Georgia" w:eastAsia="Georgia" w:hAnsi="Georgia"/>
                <w:b w:val="false"/>
                <w:bCs w:val="false"/>
                <w:color w:val="000000"/>
                <w:sz w:val="20"/>
                <w:szCs w:val="20"/>
              </w:rPr>
              <w:t xml:space="preserve">Satisfactory due diligence; land grant and Certificate of Occupancy from the Federal Capital Territory Administration; feasibility and ESIA completion; regulatory approvals for offerings; definitive PPDP, shareholders' and concession agreements</w:t>
            </w:r>
          </w:p>
        </w:tc>
      </w:tr>
      <w:tr>
        <w:tc>
          <w:tcPr>
            <w:tcW w:type="dxa" w:w="28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rFonts w:ascii="Georgia" w:cs="Georgia" w:eastAsia="Georgia" w:hAnsi="Georgia"/>
                <w:b w:val="false"/>
                <w:bCs w:val="false"/>
                <w:color w:val="000000"/>
                <w:sz w:val="20"/>
                <w:szCs w:val="20"/>
              </w:rPr>
              <w:t xml:space="preserve">Exclusivity</w:t>
            </w:r>
          </w:p>
        </w:tc>
        <w:tc>
          <w:tcPr>
            <w:tcW w:type="dxa" w:w="68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rFonts w:ascii="Georgia" w:cs="Georgia" w:eastAsia="Georgia" w:hAnsi="Georgia"/>
                <w:b w:val="false"/>
                <w:bCs w:val="false"/>
                <w:color w:val="000000"/>
                <w:sz w:val="20"/>
                <w:szCs w:val="20"/>
              </w:rPr>
              <w:t xml:space="preserve">Ninety days' mutual exclusivity from execution of this term sheet to negotiate definitive agreements, extendable by consent</w:t>
            </w:r>
          </w:p>
        </w:tc>
      </w:tr>
      <w:tr>
        <w:tc>
          <w:tcPr>
            <w:tcW w:type="dxa" w:w="2800"/>
            <w:shd w:fill="F2F2F2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rFonts w:ascii="Georgia" w:cs="Georgia" w:eastAsia="Georgia" w:hAnsi="Georgia"/>
                <w:b w:val="false"/>
                <w:bCs w:val="false"/>
                <w:color w:val="000000"/>
                <w:sz w:val="20"/>
                <w:szCs w:val="20"/>
              </w:rPr>
              <w:t xml:space="preserve">Costs</w:t>
            </w:r>
          </w:p>
        </w:tc>
        <w:tc>
          <w:tcPr>
            <w:tcW w:type="dxa" w:w="6800"/>
            <w:shd w:fill="F2F2F2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rFonts w:ascii="Georgia" w:cs="Georgia" w:eastAsia="Georgia" w:hAnsi="Georgia"/>
                <w:b w:val="false"/>
                <w:bCs w:val="false"/>
                <w:color w:val="000000"/>
                <w:sz w:val="20"/>
                <w:szCs w:val="20"/>
              </w:rPr>
              <w:t xml:space="preserve">Each party bears its own costs to financial close; SPV reimburses agreed transaction costs at close</w:t>
            </w:r>
          </w:p>
        </w:tc>
      </w:tr>
      <w:tr>
        <w:tc>
          <w:tcPr>
            <w:tcW w:type="dxa" w:w="28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rFonts w:ascii="Georgia" w:cs="Georgia" w:eastAsia="Georgia" w:hAnsi="Georgia"/>
                <w:b w:val="false"/>
                <w:bCs w:val="false"/>
                <w:color w:val="000000"/>
                <w:sz w:val="20"/>
                <w:szCs w:val="20"/>
              </w:rPr>
              <w:t xml:space="preserve">Confidentiality &amp; law</w:t>
            </w:r>
          </w:p>
        </w:tc>
        <w:tc>
          <w:tcPr>
            <w:tcW w:type="dxa" w:w="68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rFonts w:ascii="Georgia" w:cs="Georgia" w:eastAsia="Georgia" w:hAnsi="Georgia"/>
                <w:b w:val="false"/>
                <w:bCs w:val="false"/>
                <w:color w:val="000000"/>
                <w:sz w:val="20"/>
                <w:szCs w:val="20"/>
              </w:rPr>
              <w:t xml:space="preserve">Mutual confidentiality; term sheet non-binding except exclusivity, confidentiality and costs; governing law to be agreed (England &amp; Wales or New York proposed for definitive finance documents; Nigerian law for land and concession instruments)</w:t>
            </w:r>
          </w:p>
        </w:tc>
      </w:tr>
      <w:tr>
        <w:tc>
          <w:tcPr>
            <w:tcW w:type="dxa" w:w="2800"/>
            <w:shd w:fill="F2F2F2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rFonts w:ascii="Georgia" w:cs="Georgia" w:eastAsia="Georgia" w:hAnsi="Georgia"/>
                <w:b w:val="false"/>
                <w:bCs w:val="false"/>
                <w:color w:val="000000"/>
                <w:sz w:val="20"/>
                <w:szCs w:val="20"/>
              </w:rPr>
              <w:t xml:space="preserve">Next steps</w:t>
            </w:r>
          </w:p>
        </w:tc>
        <w:tc>
          <w:tcPr>
            <w:tcW w:type="dxa" w:w="6800"/>
            <w:shd w:fill="F2F2F2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rFonts w:ascii="Georgia" w:cs="Georgia" w:eastAsia="Georgia" w:hAnsi="Georgia"/>
                <w:b w:val="false"/>
                <w:bCs w:val="false"/>
                <w:color w:val="000000"/>
                <w:sz w:val="20"/>
                <w:szCs w:val="20"/>
              </w:rPr>
              <w:t xml:space="preserve">(1) SOAD working delegation appointed; (2) joint session with the Office of the Wife of the President and the FCT Administration; (3) MoU signature; (4) feasibility commissioning; (5) definitive documentation</w:t>
            </w:r>
          </w:p>
        </w:tc>
      </w:tr>
    </w:tbl>
    <w:p>
      <w:pPr>
        <w:spacing w:after="120"/>
      </w:pPr>
    </w:p>
    <w:p>
      <w:pPr>
        <w:spacing w:after="160" w:line="276"/>
        <w:jc w:val="both"/>
      </w:pPr>
      <w:r>
        <w:rPr>
          <w:rFonts w:ascii="Georgia" w:cs="Georgia" w:eastAsia="Georgia" w:hAnsi="Georgia"/>
          <w:sz w:val="22"/>
          <w:szCs w:val="22"/>
        </w:rPr>
        <w:t xml:space="preserve">For discussion. Prepared by the Sponsors, July 2026.</w:t>
      </w:r>
    </w:p>
    <w:tbl>
      <w:tblPr>
        <w:tblW w:type="dxa" w:w="96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0"/>
        <w:gridCol w:w="4800"/>
      </w:tblGrid>
      <w:tr>
        <w:tc>
          <w:tcPr>
            <w:tcW w:type="dxa" w:w="4800"/>
            <w:shd w:fill="1F3B57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rFonts w:ascii="Georgia" w:cs="Georgia" w:eastAsia="Georgia" w:hAnsi="Georgia"/>
                <w:b/>
                <w:bCs/>
                <w:color w:val="FFFFFF"/>
                <w:sz w:val="20"/>
                <w:szCs w:val="20"/>
              </w:rPr>
              <w:t xml:space="preserve">For the Sponsors</w:t>
            </w:r>
          </w:p>
        </w:tc>
        <w:tc>
          <w:tcPr>
            <w:tcW w:type="dxa" w:w="4800"/>
            <w:shd w:fill="1F3B57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rFonts w:ascii="Georgia" w:cs="Georgia" w:eastAsia="Georgia" w:hAnsi="Georgia"/>
                <w:b/>
                <w:bCs/>
                <w:color w:val="FFFFFF"/>
                <w:sz w:val="20"/>
                <w:szCs w:val="20"/>
              </w:rPr>
              <w:t xml:space="preserve">For the State of the African Diaspora</w:t>
            </w:r>
          </w:p>
        </w:tc>
      </w:tr>
      <w:tr>
        <w:tc>
          <w:tcPr>
            <w:tcW w:type="dxa" w:w="48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rFonts w:ascii="Georgia" w:cs="Georgia" w:eastAsia="Georgia" w:hAnsi="Georgia"/>
                <w:b w:val="false"/>
                <w:bCs w:val="false"/>
                <w:color w:val="000000"/>
                <w:sz w:val="20"/>
                <w:szCs w:val="20"/>
              </w:rPr>
              <w:t xml:space="preserve">
_________________________
Dr. Korede Olumide Oluwatuyi
MBBS, FWACP (Paediatrics), FISN/IPNA (Calgary), PhD (Public Health, in view)
Nigeria Medicare City Development Consultant
Date:</w:t>
            </w:r>
          </w:p>
        </w:tc>
        <w:tc>
          <w:tcPr>
            <w:tcW w:type="dxa" w:w="48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rFonts w:ascii="Georgia" w:cs="Georgia" w:eastAsia="Georgia" w:hAnsi="Georgia"/>
                <w:b w:val="false"/>
                <w:bCs w:val="false"/>
                <w:color w:val="000000"/>
                <w:sz w:val="20"/>
                <w:szCs w:val="20"/>
              </w:rPr>
              <w:t xml:space="preserve">
_________________________
Name:
Title:
Date:</w:t>
            </w:r>
          </w:p>
        </w:tc>
      </w:tr>
    </w:tbl>
    <w:sectPr>
      <w:footerReference w:type="default" r:id="rId7"/>
      <w:pgSz w:w="11906" w:h="16838" w:orient="portrait"/>
      <w:pgMar w:top="1150" w:right="1350" w:bottom="1150" w:left="135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Georgia" w:cs="Georgia" w:eastAsia="Georgia" w:hAnsi="Georgia"/>
        <w:color w:val="595959"/>
        <w:sz w:val="16"/>
        <w:szCs w:val="16"/>
      </w:rPr>
      <w:t xml:space="preserve">Indicative &amp; non-binding  |  Confidential  |  Page </w:t>
    </w:r>
    <w:r>
      <w:rPr>
        <w:rFonts w:ascii="Georgia" w:cs="Georgia" w:eastAsia="Georgia" w:hAnsi="Georgia"/>
        <w:color w:val="595959"/>
        <w:sz w:val="16"/>
        <w:szCs w:val="16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431" w:hanging="259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Georgia" w:cs="Georgia" w:eastAsia="Georgia" w:hAnsi="Georgia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2026-08-08T23:25:43.441Z</dcterms:created>
  <dcterms:modified xsi:type="dcterms:W3CDTF">2026-08-08T23:25:43.441Z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