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400"/>
      </w:pPr>
    </w:p>
    <w:p>
      <w:pPr>
        <w:spacing w:after="120"/>
        <w:jc w:val="center"/>
      </w:pPr>
      <w:r>
        <w:rPr>
          <w:rFonts w:ascii="Georgia" w:cs="Georgia" w:eastAsia="Georgia" w:hAnsi="Georgia"/>
          <w:b/>
          <w:bCs/>
          <w:color w:val="8A6D1F"/>
          <w:spacing w:val="50"/>
          <w:sz w:val="26"/>
          <w:szCs w:val="26"/>
        </w:rPr>
        <w:t xml:space="preserve">INVESTMENT PROSPECTUS (INDICATIVE)</w:t>
      </w:r>
    </w:p>
    <w:p>
      <w:pPr>
        <w:spacing w:after="200"/>
        <w:jc w:val="center"/>
      </w:pPr>
      <w:r>
        <w:rPr>
          <w:rFonts w:ascii="Georgia" w:cs="Georgia" w:eastAsia="Georgia" w:hAnsi="Georgia"/>
          <w:b/>
          <w:bCs/>
          <w:color w:val="1F3B57"/>
          <w:sz w:val="48"/>
          <w:szCs w:val="48"/>
        </w:rPr>
        <w:t xml:space="preserve">NIGERIA MEDICARE CITY</w:t>
      </w:r>
    </w:p>
    <w:p>
      <w:pPr>
        <w:pBdr>
          <w:bottom w:val="single" w:color="8A6D1F" w:sz="8" w:space="8"/>
        </w:pBdr>
        <w:spacing w:after="400"/>
        <w:jc w:val="center"/>
      </w:pPr>
      <w:r>
        <w:rPr>
          <w:rFonts w:ascii="Georgia" w:cs="Georgia" w:eastAsia="Georgia" w:hAnsi="Georgia"/>
          <w:i/>
          <w:iCs/>
          <w:color w:val="595959"/>
          <w:sz w:val="24"/>
          <w:szCs w:val="24"/>
        </w:rPr>
        <w:t xml:space="preserve">The Sixth Region's Flagship Health City — Investment Opportunities for the African Diaspora</w:t>
      </w:r>
    </w:p>
    <w:p>
      <w:pPr>
        <w:spacing w:after="80" w:before="500"/>
        <w:jc w:val="center"/>
      </w:pPr>
      <w:r>
        <w:rPr>
          <w:rFonts w:ascii="Georgia" w:cs="Georgia" w:eastAsia="Georgia" w:hAnsi="Georgia"/>
          <w:sz w:val="22"/>
          <w:szCs w:val="22"/>
        </w:rPr>
        <w:t xml:space="preserve">Presented with the endorsement sought of the State of the African Diaspora (SOAD)</w:t>
      </w:r>
    </w:p>
    <w:p>
      <w:pPr>
        <w:spacing w:after="80"/>
        <w:jc w:val="center"/>
      </w:pPr>
      <w:r>
        <w:rPr>
          <w:rFonts w:ascii="Georgia" w:cs="Georgia" w:eastAsia="Georgia" w:hAnsi="Georgia"/>
          <w:color w:val="595959"/>
          <w:sz w:val="20"/>
          <w:szCs w:val="20"/>
        </w:rPr>
        <w:t xml:space="preserve">Prepared by Dr. Korede Olumide Oluwatuyi  |  July 2026  |  Strictly Confidential</w:t>
      </w:r>
    </w:p>
    <w:p>
      <w:r>
        <w:br w:type="page"/>
      </w:r>
    </w:p>
    <w:p>
      <w:pPr>
        <w:spacing w:after="200"/>
      </w:pPr>
      <w:r>
        <w:rPr>
          <w:rFonts w:ascii="Georgia" w:cs="Georgia" w:eastAsia="Georgia" w:hAnsi="Georgia"/>
          <w:b/>
          <w:bCs/>
          <w:color w:val="1F3B57"/>
          <w:sz w:val="30"/>
          <w:szCs w:val="30"/>
        </w:rPr>
        <w:t xml:space="preserve">Contents</w:t>
      </w:r>
    </w:p>
    <w:p>
      <w:pPr>
        <w:tabs>
          <w:tab w:val="right" w:pos="9350" w:leader="dot"/>
        </w:tabs>
        <w:spacing w:after="80" w:before="0"/>
      </w:pPr>
      <w:r>
        <w:rPr>
          <w:rFonts w:ascii="Georgia" w:cs="Georgia" w:eastAsia="Georgia" w:hAnsi="Georgia"/>
          <w:b w:val="false"/>
          <w:bCs w:val="false"/>
          <w:color w:val="000000"/>
          <w:sz w:val="22"/>
          <w:szCs w:val="22"/>
        </w:rPr>
        <w:t xml:space="preserve">Important Notice</w:t>
      </w:r>
      <w:r>
        <w:rPr>
          <w:rFonts w:ascii="Georgia" w:cs="Georgia" w:eastAsia="Georgia" w:hAnsi="Georgia"/>
          <w:color w:val="595959"/>
          <w:sz w:val="22"/>
          <w:szCs w:val="22"/>
        </w:rPr>
        <w:t xml:space="preserve">	3</w:t>
      </w:r>
    </w:p>
    <w:p>
      <w:pPr>
        <w:tabs>
          <w:tab w:val="right" w:pos="9350" w:leader="dot"/>
        </w:tabs>
        <w:spacing w:after="80" w:before="0"/>
      </w:pPr>
      <w:r>
        <w:rPr>
          <w:rFonts w:ascii="Georgia" w:cs="Georgia" w:eastAsia="Georgia" w:hAnsi="Georgia"/>
          <w:b w:val="false"/>
          <w:bCs w:val="false"/>
          <w:color w:val="000000"/>
          <w:sz w:val="22"/>
          <w:szCs w:val="22"/>
        </w:rPr>
        <w:t xml:space="preserve">1. The Opportunity at a Glance</w:t>
      </w:r>
      <w:r>
        <w:rPr>
          <w:rFonts w:ascii="Georgia" w:cs="Georgia" w:eastAsia="Georgia" w:hAnsi="Georgia"/>
          <w:color w:val="595959"/>
          <w:sz w:val="22"/>
          <w:szCs w:val="22"/>
        </w:rPr>
        <w:t xml:space="preserve">	3</w:t>
      </w:r>
    </w:p>
    <w:p>
      <w:pPr>
        <w:tabs>
          <w:tab w:val="right" w:pos="9350" w:leader="dot"/>
        </w:tabs>
        <w:spacing w:after="80" w:before="0"/>
      </w:pPr>
      <w:r>
        <w:rPr>
          <w:rFonts w:ascii="Georgia" w:cs="Georgia" w:eastAsia="Georgia" w:hAnsi="Georgia"/>
          <w:b w:val="false"/>
          <w:bCs w:val="false"/>
          <w:color w:val="000000"/>
          <w:sz w:val="22"/>
          <w:szCs w:val="22"/>
        </w:rPr>
        <w:t xml:space="preserve">2. Investment Thesis</w:t>
      </w:r>
      <w:r>
        <w:rPr>
          <w:rFonts w:ascii="Georgia" w:cs="Georgia" w:eastAsia="Georgia" w:hAnsi="Georgia"/>
          <w:color w:val="595959"/>
          <w:sz w:val="22"/>
          <w:szCs w:val="22"/>
        </w:rPr>
        <w:t xml:space="preserve">	3</w:t>
      </w:r>
    </w:p>
    <w:p>
      <w:pPr>
        <w:tabs>
          <w:tab w:val="right" w:pos="9350" w:leader="dot"/>
        </w:tabs>
        <w:spacing w:after="80" w:before="0"/>
      </w:pPr>
      <w:r>
        <w:rPr>
          <w:rFonts w:ascii="Georgia" w:cs="Georgia" w:eastAsia="Georgia" w:hAnsi="Georgia"/>
          <w:b w:val="false"/>
          <w:bCs w:val="false"/>
          <w:color w:val="000000"/>
          <w:sz w:val="22"/>
          <w:szCs w:val="22"/>
        </w:rPr>
        <w:t xml:space="preserve">3. The Instruments</w:t>
      </w:r>
      <w:r>
        <w:rPr>
          <w:rFonts w:ascii="Georgia" w:cs="Georgia" w:eastAsia="Georgia" w:hAnsi="Georgia"/>
          <w:color w:val="595959"/>
          <w:sz w:val="22"/>
          <w:szCs w:val="22"/>
        </w:rPr>
        <w:t xml:space="preserve">	4</w:t>
      </w:r>
    </w:p>
    <w:p>
      <w:pPr>
        <w:tabs>
          <w:tab w:val="right" w:pos="9350" w:leader="dot"/>
        </w:tabs>
        <w:spacing w:after="80" w:before="0"/>
      </w:pPr>
      <w:r>
        <w:rPr>
          <w:rFonts w:ascii="Georgia" w:cs="Georgia" w:eastAsia="Georgia" w:hAnsi="Georgia"/>
          <w:b w:val="false"/>
          <w:bCs w:val="false"/>
          <w:color w:val="000000"/>
          <w:sz w:val="22"/>
          <w:szCs w:val="22"/>
        </w:rPr>
        <w:t xml:space="preserve">4. Use of Proceeds</w:t>
      </w:r>
      <w:r>
        <w:rPr>
          <w:rFonts w:ascii="Georgia" w:cs="Georgia" w:eastAsia="Georgia" w:hAnsi="Georgia"/>
          <w:color w:val="595959"/>
          <w:sz w:val="22"/>
          <w:szCs w:val="22"/>
        </w:rPr>
        <w:t xml:space="preserve">	5</w:t>
      </w:r>
    </w:p>
    <w:p>
      <w:pPr>
        <w:tabs>
          <w:tab w:val="right" w:pos="9350" w:leader="dot"/>
        </w:tabs>
        <w:spacing w:after="80" w:before="0"/>
      </w:pPr>
      <w:r>
        <w:rPr>
          <w:rFonts w:ascii="Georgia" w:cs="Georgia" w:eastAsia="Georgia" w:hAnsi="Georgia"/>
          <w:b w:val="false"/>
          <w:bCs w:val="false"/>
          <w:color w:val="000000"/>
          <w:sz w:val="22"/>
          <w:szCs w:val="22"/>
        </w:rPr>
        <w:t xml:space="preserve">5. Financial Highlights</w:t>
      </w:r>
      <w:r>
        <w:rPr>
          <w:rFonts w:ascii="Georgia" w:cs="Georgia" w:eastAsia="Georgia" w:hAnsi="Georgia"/>
          <w:color w:val="595959"/>
          <w:sz w:val="22"/>
          <w:szCs w:val="22"/>
        </w:rPr>
        <w:t xml:space="preserve">	5</w:t>
      </w:r>
    </w:p>
    <w:p>
      <w:pPr>
        <w:tabs>
          <w:tab w:val="right" w:pos="9350" w:leader="dot"/>
        </w:tabs>
        <w:spacing w:after="80" w:before="0"/>
      </w:pPr>
      <w:r>
        <w:rPr>
          <w:rFonts w:ascii="Georgia" w:cs="Georgia" w:eastAsia="Georgia" w:hAnsi="Georgia"/>
          <w:b w:val="false"/>
          <w:bCs w:val="false"/>
          <w:color w:val="000000"/>
          <w:sz w:val="22"/>
          <w:szCs w:val="22"/>
        </w:rPr>
        <w:t xml:space="preserve">6. Governance and Investor Protections</w:t>
      </w:r>
      <w:r>
        <w:rPr>
          <w:rFonts w:ascii="Georgia" w:cs="Georgia" w:eastAsia="Georgia" w:hAnsi="Georgia"/>
          <w:color w:val="595959"/>
          <w:sz w:val="22"/>
          <w:szCs w:val="22"/>
        </w:rPr>
        <w:t xml:space="preserve">	5</w:t>
      </w:r>
    </w:p>
    <w:p>
      <w:pPr>
        <w:tabs>
          <w:tab w:val="right" w:pos="9350" w:leader="dot"/>
        </w:tabs>
        <w:spacing w:after="80" w:before="0"/>
      </w:pPr>
      <w:r>
        <w:rPr>
          <w:rFonts w:ascii="Georgia" w:cs="Georgia" w:eastAsia="Georgia" w:hAnsi="Georgia"/>
          <w:b w:val="false"/>
          <w:bCs w:val="false"/>
          <w:color w:val="000000"/>
          <w:sz w:val="22"/>
          <w:szCs w:val="22"/>
        </w:rPr>
        <w:t xml:space="preserve">7. Liquidity and Exit</w:t>
      </w:r>
      <w:r>
        <w:rPr>
          <w:rFonts w:ascii="Georgia" w:cs="Georgia" w:eastAsia="Georgia" w:hAnsi="Georgia"/>
          <w:color w:val="595959"/>
          <w:sz w:val="22"/>
          <w:szCs w:val="22"/>
        </w:rPr>
        <w:t xml:space="preserve">	6</w:t>
      </w:r>
    </w:p>
    <w:p>
      <w:pPr>
        <w:tabs>
          <w:tab w:val="right" w:pos="9350" w:leader="dot"/>
        </w:tabs>
        <w:spacing w:after="80" w:before="0"/>
      </w:pPr>
      <w:r>
        <w:rPr>
          <w:rFonts w:ascii="Georgia" w:cs="Georgia" w:eastAsia="Georgia" w:hAnsi="Georgia"/>
          <w:b w:val="false"/>
          <w:bCs w:val="false"/>
          <w:color w:val="000000"/>
          <w:sz w:val="22"/>
          <w:szCs w:val="22"/>
        </w:rPr>
        <w:t xml:space="preserve">8. Principal Risk Factors</w:t>
      </w:r>
      <w:r>
        <w:rPr>
          <w:rFonts w:ascii="Georgia" w:cs="Georgia" w:eastAsia="Georgia" w:hAnsi="Georgia"/>
          <w:color w:val="595959"/>
          <w:sz w:val="22"/>
          <w:szCs w:val="22"/>
        </w:rPr>
        <w:t xml:space="preserve">	6</w:t>
      </w:r>
    </w:p>
    <w:p>
      <w:pPr>
        <w:tabs>
          <w:tab w:val="right" w:pos="9350" w:leader="dot"/>
        </w:tabs>
        <w:spacing w:after="80" w:before="0"/>
      </w:pPr>
      <w:r>
        <w:rPr>
          <w:rFonts w:ascii="Georgia" w:cs="Georgia" w:eastAsia="Georgia" w:hAnsi="Georgia"/>
          <w:b w:val="false"/>
          <w:bCs w:val="false"/>
          <w:color w:val="000000"/>
          <w:sz w:val="22"/>
          <w:szCs w:val="22"/>
        </w:rPr>
        <w:t xml:space="preserve">9. Subscription Pathway</w:t>
      </w:r>
      <w:r>
        <w:rPr>
          <w:rFonts w:ascii="Georgia" w:cs="Georgia" w:eastAsia="Georgia" w:hAnsi="Georgia"/>
          <w:color w:val="595959"/>
          <w:sz w:val="22"/>
          <w:szCs w:val="22"/>
        </w:rPr>
        <w:t xml:space="preserve">	6</w:t>
      </w:r>
    </w:p>
    <w:p>
      <w:pPr>
        <w:tabs>
          <w:tab w:val="right" w:pos="9350" w:leader="dot"/>
        </w:tabs>
        <w:spacing w:after="80" w:before="0"/>
      </w:pPr>
      <w:r>
        <w:rPr>
          <w:rFonts w:ascii="Georgia" w:cs="Georgia" w:eastAsia="Georgia" w:hAnsi="Georgia"/>
          <w:b w:val="false"/>
          <w:bCs w:val="false"/>
          <w:color w:val="000000"/>
          <w:sz w:val="22"/>
          <w:szCs w:val="22"/>
        </w:rPr>
        <w:t xml:space="preserve">10. Frequently Asked Questions (Diaspora Investors)</w:t>
      </w:r>
      <w:r>
        <w:rPr>
          <w:rFonts w:ascii="Georgia" w:cs="Georgia" w:eastAsia="Georgia" w:hAnsi="Georgia"/>
          <w:color w:val="595959"/>
          <w:sz w:val="22"/>
          <w:szCs w:val="22"/>
        </w:rPr>
        <w:t xml:space="preserve">	6</w:t>
      </w:r>
    </w:p>
    <w:p>
      <w:r>
        <w:br w:type="page"/>
      </w:r>
    </w:p>
    <w:p>
      <w:pPr>
        <w:pStyle w:val="Heading1"/>
        <w:spacing w:after="200" w:before="360"/>
      </w:pPr>
      <w:r>
        <w:rPr>
          <w:rFonts w:ascii="Georgia" w:cs="Georgia" w:eastAsia="Georgia" w:hAnsi="Georgia"/>
          <w:b/>
          <w:bCs/>
          <w:color w:val="1F3B57"/>
          <w:sz w:val="30"/>
          <w:szCs w:val="30"/>
        </w:rPr>
        <w:t xml:space="preserve">Important Notice</w:t>
      </w:r>
    </w:p>
    <w:p>
      <w:pPr>
        <w:spacing w:after="160" w:line="276"/>
        <w:jc w:val="both"/>
      </w:pPr>
      <w:r>
        <w:rPr>
          <w:rFonts w:ascii="Georgia" w:cs="Georgia" w:eastAsia="Georgia" w:hAnsi="Georgia"/>
          <w:sz w:val="22"/>
          <w:szCs w:val="22"/>
        </w:rPr>
        <w:t xml:space="preserve">This document is an indicative, pre-offering prospectus prepared for discussion with the State of the African Diaspora and prospective anchor partners. It does not constitute an offer to sell, or a solicitation of an offer to buy, any security in any jurisdiction. No securities described herein may be offered or sold except pursuant to offering documents approved by the competent regulators of each relevant jurisdiction, including the Securities and Exchange Commission of Nigeria and applicable Diaspora-jurisdiction authorities. All financial figures are concept-stage planning estimates from the accompanying Financial Feasibility Model and are subject to the completion of full feasibility studies, due diligence and definitive documentation. Prospective investors must rely solely on final approved offering documents and their own professional advisers. Capitalized terms follow the accompanying Full Business Proposal.</w:t>
      </w:r>
    </w:p>
    <w:p>
      <w:pPr>
        <w:pStyle w:val="Heading1"/>
        <w:spacing w:after="200" w:before="360"/>
      </w:pPr>
      <w:r>
        <w:rPr>
          <w:rFonts w:ascii="Georgia" w:cs="Georgia" w:eastAsia="Georgia" w:hAnsi="Georgia"/>
          <w:b/>
          <w:bCs/>
          <w:color w:val="1F3B57"/>
          <w:sz w:val="30"/>
          <w:szCs w:val="30"/>
        </w:rPr>
        <w:t xml:space="preserve">1. The Opportunity at a Glance</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3400"/>
        <w:gridCol w:w="6200"/>
      </w:tblGrid>
      <w:tr>
        <w:tc>
          <w:tcPr>
            <w:tcW w:type="dxa" w:w="34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Item</w:t>
            </w:r>
          </w:p>
        </w:tc>
        <w:tc>
          <w:tcPr>
            <w:tcW w:type="dxa" w:w="62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Summary</w:t>
            </w:r>
          </w:p>
        </w:tc>
      </w:tr>
      <w:tr>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Project</w:t>
            </w:r>
          </w:p>
        </w:tc>
        <w:tc>
          <w:tcPr>
            <w:tcW w:type="dxa" w:w="6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Nigeria Medicare City — 600–1,000 ha health, research, education and wellness city, Abuja, Federal Capital Territory, Nigeria</w:t>
            </w:r>
          </w:p>
        </w:tc>
      </w:tr>
      <w:tr>
        <w:tc>
          <w:tcPr>
            <w:tcW w:type="dxa" w:w="3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Programme cost</w:t>
            </w:r>
          </w:p>
        </w:tc>
        <w:tc>
          <w:tcPr>
            <w:tcW w:type="dxa" w:w="6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US$1.5–2.5 billion, phased 2027–2039 (mid-case ~US$2.0bn)</w:t>
            </w:r>
          </w:p>
        </w:tc>
      </w:tr>
      <w:tr>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Structure</w:t>
            </w:r>
          </w:p>
        </w:tc>
        <w:tc>
          <w:tcPr>
            <w:tcW w:type="dxa" w:w="6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Public–Private–Diaspora Partnership; NMC Development Company SPV; DBFOM concession</w:t>
            </w:r>
          </w:p>
        </w:tc>
      </w:tr>
      <w:tr>
        <w:tc>
          <w:tcPr>
            <w:tcW w:type="dxa" w:w="3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Anchor partner sought</w:t>
            </w:r>
          </w:p>
        </w:tc>
        <w:tc>
          <w:tcPr>
            <w:tcW w:type="dxa" w:w="6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SOAD — cornerstone investment, bond endorsement, governance seats</w:t>
            </w:r>
          </w:p>
        </w:tc>
      </w:tr>
      <w:tr>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Prepared by</w:t>
            </w:r>
          </w:p>
        </w:tc>
        <w:tc>
          <w:tcPr>
            <w:tcW w:type="dxa" w:w="6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Dr. Korede Olumide Oluwatuyi — Nigeria Medicare City Development Consultant</w:t>
            </w:r>
          </w:p>
        </w:tc>
      </w:tr>
      <w:tr>
        <w:tc>
          <w:tcPr>
            <w:tcW w:type="dxa" w:w="3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Instruments</w:t>
            </w:r>
          </w:p>
        </w:tc>
        <w:tc>
          <w:tcPr>
            <w:tcW w:type="dxa" w:w="6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Diaspora Bonds; ordinary equity; green/social tranches; Endowment philanthropy</w:t>
            </w:r>
          </w:p>
        </w:tc>
      </w:tr>
      <w:tr>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Base-case economics</w:t>
            </w:r>
          </w:p>
        </w:tc>
        <w:tc>
          <w:tcPr>
            <w:tcW w:type="dxa" w:w="6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Revenue ~US$550m by 2040 and ~US$900m by 2050; mature EBITDA margins in the low-to-mid 30s%; conservative unlevered post-tax IRR ~9%, high scenario toward the mid-teens (see Model)</w:t>
            </w:r>
          </w:p>
        </w:tc>
      </w:tr>
      <w:tr>
        <w:tc>
          <w:tcPr>
            <w:tcW w:type="dxa" w:w="3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Security &amp; protections</w:t>
            </w:r>
          </w:p>
        </w:tc>
        <w:tc>
          <w:tcPr>
            <w:tcW w:type="dxa" w:w="6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Independent bond trustee; covenanted use of proceeds; DFI co-investment standards; audited reporting; SOAD board oversight</w:t>
            </w:r>
          </w:p>
        </w:tc>
      </w:tr>
      <w:tr>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Impact</w:t>
            </w:r>
          </w:p>
        </w:tc>
        <w:tc>
          <w:tcPr>
            <w:tcW w:type="dxa" w:w="6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20,000+ direct jobs; medical-exile reversal; Diaspora Medical Corps; Community Health Endowment for indigent care</w:t>
            </w:r>
          </w:p>
        </w:tc>
      </w:tr>
    </w:tbl>
    <w:p>
      <w:pPr>
        <w:spacing w:after="120"/>
      </w:pPr>
    </w:p>
    <w:p>
      <w:pPr>
        <w:pStyle w:val="Heading1"/>
        <w:spacing w:after="200" w:before="360"/>
      </w:pPr>
      <w:r>
        <w:rPr>
          <w:rFonts w:ascii="Georgia" w:cs="Georgia" w:eastAsia="Georgia" w:hAnsi="Georgia"/>
          <w:b/>
          <w:bCs/>
          <w:color w:val="1F3B57"/>
          <w:sz w:val="30"/>
          <w:szCs w:val="30"/>
        </w:rPr>
        <w:t xml:space="preserve">2. Investment Thesis</w:t>
      </w:r>
    </w:p>
    <w:p>
      <w:pPr>
        <w:pStyle w:val="ListParagraph"/>
        <w:numPr>
          <w:ilvl w:val="0"/>
          <w:numId w:val="2"/>
        </w:numPr>
        <w:spacing w:after="100" w:line="264"/>
        <w:jc w:val="both"/>
      </w:pPr>
      <w:r>
        <w:rPr>
          <w:rFonts w:ascii="Georgia" w:cs="Georgia" w:eastAsia="Georgia" w:hAnsi="Georgia"/>
          <w:b/>
          <w:bCs/>
          <w:sz w:val="22"/>
          <w:szCs w:val="22"/>
        </w:rPr>
        <w:t xml:space="preserve">Demand is proven, not projected — </w:t>
      </w:r>
      <w:r>
        <w:rPr>
          <w:rFonts w:ascii="Georgia" w:cs="Georgia" w:eastAsia="Georgia" w:hAnsi="Georgia"/>
          <w:sz w:val="22"/>
          <w:szCs w:val="22"/>
        </w:rPr>
        <w:t xml:space="preserve">A vast, structurally undersupplied market: 220m+ Nigerians, 400m+ ECOWAS citizens, and a global Diaspora — with US$1bn+ of Nigerian demand already proven annually in foreign hospitals.</w:t>
      </w:r>
    </w:p>
    <w:p>
      <w:pPr>
        <w:pStyle w:val="ListParagraph"/>
        <w:numPr>
          <w:ilvl w:val="0"/>
          <w:numId w:val="2"/>
        </w:numPr>
        <w:spacing w:after="100" w:line="264"/>
        <w:jc w:val="both"/>
      </w:pPr>
      <w:r>
        <w:rPr>
          <w:rFonts w:ascii="Georgia" w:cs="Georgia" w:eastAsia="Georgia" w:hAnsi="Georgia"/>
          <w:b/>
          <w:bCs/>
          <w:sz w:val="22"/>
          <w:szCs w:val="22"/>
        </w:rPr>
        <w:t xml:space="preserve">Diversification by design — </w:t>
      </w:r>
      <w:r>
        <w:rPr>
          <w:rFonts w:ascii="Georgia" w:cs="Georgia" w:eastAsia="Georgia" w:hAnsi="Georgia"/>
          <w:sz w:val="22"/>
          <w:szCs w:val="22"/>
        </w:rPr>
        <w:t xml:space="preserve">Eight diversified revenue streams across clinical, education, research, hospitality, residential, pharmaceutical and utility income insulate returns from any single market.</w:t>
      </w:r>
    </w:p>
    <w:p>
      <w:pPr>
        <w:pStyle w:val="ListParagraph"/>
        <w:numPr>
          <w:ilvl w:val="0"/>
          <w:numId w:val="2"/>
        </w:numPr>
        <w:spacing w:after="100" w:line="264"/>
        <w:jc w:val="both"/>
      </w:pPr>
      <w:r>
        <w:rPr>
          <w:rFonts w:ascii="Georgia" w:cs="Georgia" w:eastAsia="Georgia" w:hAnsi="Georgia"/>
          <w:b/>
          <w:bCs/>
          <w:sz w:val="22"/>
          <w:szCs w:val="22"/>
        </w:rPr>
        <w:t xml:space="preserve">Cost moat — </w:t>
      </w:r>
      <w:r>
        <w:rPr>
          <w:rFonts w:ascii="Georgia" w:cs="Georgia" w:eastAsia="Georgia" w:hAnsi="Georgia"/>
          <w:sz w:val="22"/>
          <w:szCs w:val="22"/>
        </w:rPr>
        <w:t xml:space="preserve">Energy and water self-sufficiency, digital-first operations and campus scale produce structurally lower unit costs than fragmented competitors.</w:t>
      </w:r>
    </w:p>
    <w:p>
      <w:pPr>
        <w:pStyle w:val="ListParagraph"/>
        <w:numPr>
          <w:ilvl w:val="0"/>
          <w:numId w:val="2"/>
        </w:numPr>
        <w:spacing w:after="100" w:line="264"/>
        <w:jc w:val="both"/>
      </w:pPr>
      <w:r>
        <w:rPr>
          <w:rFonts w:ascii="Georgia" w:cs="Georgia" w:eastAsia="Georgia" w:hAnsi="Georgia"/>
          <w:b/>
          <w:bCs/>
          <w:sz w:val="22"/>
          <w:szCs w:val="22"/>
        </w:rPr>
        <w:t xml:space="preserve">De-risked structure — </w:t>
      </w:r>
      <w:r>
        <w:rPr>
          <w:rFonts w:ascii="Georgia" w:cs="Georgia" w:eastAsia="Georgia" w:hAnsi="Georgia"/>
          <w:sz w:val="22"/>
          <w:szCs w:val="22"/>
        </w:rPr>
        <w:t xml:space="preserve">Government land and incentives, DFI-standard governance and SOAD anchor participation de-risk the capital stack; Diaspora staffing de-risks operations.</w:t>
      </w:r>
    </w:p>
    <w:p>
      <w:pPr>
        <w:pStyle w:val="ListParagraph"/>
        <w:numPr>
          <w:ilvl w:val="0"/>
          <w:numId w:val="2"/>
        </w:numPr>
        <w:spacing w:after="100" w:line="264"/>
        <w:jc w:val="both"/>
      </w:pPr>
      <w:r>
        <w:rPr>
          <w:rFonts w:ascii="Georgia" w:cs="Georgia" w:eastAsia="Georgia" w:hAnsi="Georgia"/>
          <w:b/>
          <w:bCs/>
          <w:sz w:val="22"/>
          <w:szCs w:val="22"/>
        </w:rPr>
        <w:t xml:space="preserve">Category creation — </w:t>
      </w:r>
      <w:r>
        <w:rPr>
          <w:rFonts w:ascii="Georgia" w:cs="Georgia" w:eastAsia="Georgia" w:hAnsi="Georgia"/>
          <w:sz w:val="22"/>
          <w:szCs w:val="22"/>
        </w:rPr>
        <w:t xml:space="preserve">The first mover at this scale defines West Africa's health-city category and captures its referral networks, faculty and trials pipeline for a generation.</w:t>
      </w:r>
    </w:p>
    <w:p>
      <w:pPr>
        <w:pStyle w:val="Heading1"/>
        <w:spacing w:after="200" w:before="360"/>
      </w:pPr>
      <w:r>
        <w:rPr>
          <w:rFonts w:ascii="Georgia" w:cs="Georgia" w:eastAsia="Georgia" w:hAnsi="Georgia"/>
          <w:b/>
          <w:bCs/>
          <w:color w:val="1F3B57"/>
          <w:sz w:val="30"/>
          <w:szCs w:val="30"/>
        </w:rPr>
        <w:t xml:space="preserve">3. The Instruments</w:t>
      </w:r>
    </w:p>
    <w:p>
      <w:pPr>
        <w:pStyle w:val="Heading2"/>
        <w:spacing w:after="140" w:before="260"/>
      </w:pPr>
      <w:r>
        <w:rPr>
          <w:rFonts w:ascii="Georgia" w:cs="Georgia" w:eastAsia="Georgia" w:hAnsi="Georgia"/>
          <w:b/>
          <w:bCs/>
          <w:color w:val="8A6D1F"/>
          <w:sz w:val="25"/>
          <w:szCs w:val="25"/>
        </w:rPr>
        <w:t xml:space="preserve">3.1 NMC Diaspora Bond Programme (target 17.5% of sources)</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3400"/>
        <w:gridCol w:w="6200"/>
      </w:tblGrid>
      <w:tr>
        <w:tc>
          <w:tcPr>
            <w:tcW w:type="dxa" w:w="34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Term</w:t>
            </w:r>
          </w:p>
        </w:tc>
        <w:tc>
          <w:tcPr>
            <w:tcW w:type="dxa" w:w="62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Indicative Provision</w:t>
            </w:r>
          </w:p>
        </w:tc>
      </w:tr>
      <w:tr>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Issuer</w:t>
            </w:r>
          </w:p>
        </w:tc>
        <w:tc>
          <w:tcPr>
            <w:tcW w:type="dxa" w:w="6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NMC Development Company (or dedicated funding vehicle)</w:t>
            </w:r>
          </w:p>
        </w:tc>
      </w:tr>
      <w:tr>
        <w:tc>
          <w:tcPr>
            <w:tcW w:type="dxa" w:w="3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Programme size</w:t>
            </w:r>
          </w:p>
        </w:tc>
        <w:tc>
          <w:tcPr>
            <w:tcW w:type="dxa" w:w="6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Up to US$400m equivalent, in series matched to construction phases</w:t>
            </w:r>
          </w:p>
        </w:tc>
      </w:tr>
      <w:tr>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Denominations</w:t>
            </w:r>
          </w:p>
        </w:tc>
        <w:tc>
          <w:tcPr>
            <w:tcW w:type="dxa" w:w="6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From US$1,000 — designed for broad Diaspora participation</w:t>
            </w:r>
          </w:p>
        </w:tc>
      </w:tr>
      <w:tr>
        <w:tc>
          <w:tcPr>
            <w:tcW w:type="dxa" w:w="3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Coupon (indicative)</w:t>
            </w:r>
          </w:p>
        </w:tc>
        <w:tc>
          <w:tcPr>
            <w:tcW w:type="dxa" w:w="6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7% p.a. USD-linked, paid semi-annually (final pricing at issuance)</w:t>
            </w:r>
          </w:p>
        </w:tc>
      </w:tr>
      <w:tr>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Tenor</w:t>
            </w:r>
          </w:p>
        </w:tc>
        <w:tc>
          <w:tcPr>
            <w:tcW w:type="dxa" w:w="6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10–15 years; amortizing or bullet-with-refinancing per series</w:t>
            </w:r>
          </w:p>
        </w:tc>
      </w:tr>
      <w:tr>
        <w:tc>
          <w:tcPr>
            <w:tcW w:type="dxa" w:w="3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Trustee &amp; accounts</w:t>
            </w:r>
          </w:p>
        </w:tc>
        <w:tc>
          <w:tcPr>
            <w:tcW w:type="dxa" w:w="6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Independent international trustee; escrowed proceeds; covenanted drawdowns against certified construction milestones</w:t>
            </w:r>
          </w:p>
        </w:tc>
      </w:tr>
      <w:tr>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Distribution</w:t>
            </w:r>
          </w:p>
        </w:tc>
        <w:tc>
          <w:tcPr>
            <w:tcW w:type="dxa" w:w="6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Regulated platforms in each jurisdiction; SOAD-endorsed community marketing</w:t>
            </w:r>
          </w:p>
        </w:tc>
      </w:tr>
      <w:tr>
        <w:tc>
          <w:tcPr>
            <w:tcW w:type="dxa" w:w="3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Status</w:t>
            </w:r>
          </w:p>
        </w:tc>
        <w:tc>
          <w:tcPr>
            <w:tcW w:type="dxa" w:w="6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Senior ranking within the bond class; security package per final documentation</w:t>
            </w:r>
          </w:p>
        </w:tc>
      </w:tr>
    </w:tbl>
    <w:p>
      <w:pPr>
        <w:spacing w:after="120"/>
      </w:pPr>
    </w:p>
    <w:p>
      <w:pPr>
        <w:pStyle w:val="Heading2"/>
        <w:spacing w:after="140" w:before="260"/>
      </w:pPr>
      <w:r>
        <w:rPr>
          <w:rFonts w:ascii="Georgia" w:cs="Georgia" w:eastAsia="Georgia" w:hAnsi="Georgia"/>
          <w:b/>
          <w:bCs/>
          <w:color w:val="8A6D1F"/>
          <w:sz w:val="25"/>
          <w:szCs w:val="25"/>
        </w:rPr>
        <w:t xml:space="preserve">3.2 Equity (SOAD anchor 12.5%; Diaspora &amp; strategic equity 12.5%)</w:t>
      </w:r>
    </w:p>
    <w:p>
      <w:pPr>
        <w:spacing w:after="160" w:line="276"/>
        <w:jc w:val="both"/>
      </w:pPr>
      <w:r>
        <w:rPr>
          <w:rFonts w:ascii="Georgia" w:cs="Georgia" w:eastAsia="Georgia" w:hAnsi="Georgia"/>
          <w:sz w:val="22"/>
          <w:szCs w:val="22"/>
        </w:rPr>
        <w:t xml:space="preserve">Ordinary equity in the SPV carries board representation per the shareholders' agreement, pre-emption rights, tag-along protection for minorities, and a dividend policy commencing after debt-service coverage thresholds are met (modelled from the late 2030s). SOAD's anchor tranche carries founder-class governance rights described in the Term Sheet. Strategic equity is reserved for hospital operating partners and impact institutions whose participation adds operating or accreditation value.</w:t>
      </w:r>
    </w:p>
    <w:p>
      <w:pPr>
        <w:pStyle w:val="Heading2"/>
        <w:spacing w:after="140" w:before="260"/>
      </w:pPr>
      <w:r>
        <w:rPr>
          <w:rFonts w:ascii="Georgia" w:cs="Georgia" w:eastAsia="Georgia" w:hAnsi="Georgia"/>
          <w:b/>
          <w:bCs/>
          <w:color w:val="8A6D1F"/>
          <w:sz w:val="25"/>
          <w:szCs w:val="25"/>
        </w:rPr>
        <w:t xml:space="preserve">3.3 Green and Social Tranches</w:t>
      </w:r>
    </w:p>
    <w:p>
      <w:pPr>
        <w:spacing w:after="160" w:line="276"/>
        <w:jc w:val="both"/>
      </w:pPr>
      <w:r>
        <w:rPr>
          <w:rFonts w:ascii="Georgia" w:cs="Georgia" w:eastAsia="Georgia" w:hAnsi="Georgia"/>
          <w:sz w:val="22"/>
          <w:szCs w:val="22"/>
        </w:rPr>
        <w:t xml:space="preserve">The renewable energy park, water and waste assets, and the Endowment-linked social outcomes support green and social bond or loan tranches under recognized international frameworks, to be second-party verified, broadening the investor base to climate and impact capital.</w:t>
      </w:r>
    </w:p>
    <w:p>
      <w:pPr>
        <w:pStyle w:val="Heading2"/>
        <w:spacing w:after="140" w:before="260"/>
      </w:pPr>
      <w:r>
        <w:rPr>
          <w:rFonts w:ascii="Georgia" w:cs="Georgia" w:eastAsia="Georgia" w:hAnsi="Georgia"/>
          <w:b/>
          <w:bCs/>
          <w:color w:val="8A6D1F"/>
          <w:sz w:val="25"/>
          <w:szCs w:val="25"/>
        </w:rPr>
        <w:t xml:space="preserve">3.4 Endowment Philanthropy</w:t>
      </w:r>
    </w:p>
    <w:p>
      <w:pPr>
        <w:spacing w:after="160" w:line="276"/>
        <w:jc w:val="both"/>
      </w:pPr>
      <w:r>
        <w:rPr>
          <w:rFonts w:ascii="Georgia" w:cs="Georgia" w:eastAsia="Georgia" w:hAnsi="Georgia"/>
          <w:sz w:val="22"/>
          <w:szCs w:val="22"/>
        </w:rPr>
        <w:t xml:space="preserve">Non-investment participation through the Community Health Endowment Fund: named beds, wards, scholarships and equipment endowed by Diaspora families, congregations, fraternities, sororities and associations, with public recognition on campus and annual impact reporting. Philanthropy is additive to, never a substitute for, the commercial capital stack.</w:t>
      </w:r>
    </w:p>
    <w:p>
      <w:pPr>
        <w:pStyle w:val="Heading1"/>
        <w:spacing w:after="200" w:before="360"/>
      </w:pPr>
      <w:r>
        <w:rPr>
          <w:rFonts w:ascii="Georgia" w:cs="Georgia" w:eastAsia="Georgia" w:hAnsi="Georgia"/>
          <w:b/>
          <w:bCs/>
          <w:color w:val="1F3B57"/>
          <w:sz w:val="30"/>
          <w:szCs w:val="30"/>
        </w:rPr>
        <w:t xml:space="preserve">4. Use of Proceeds</w:t>
      </w:r>
    </w:p>
    <w:p>
      <w:pPr>
        <w:spacing w:after="160" w:line="276"/>
        <w:jc w:val="both"/>
      </w:pPr>
      <w:r>
        <w:rPr>
          <w:rFonts w:ascii="Georgia" w:cs="Georgia" w:eastAsia="Georgia" w:hAnsi="Georgia"/>
          <w:sz w:val="22"/>
          <w:szCs w:val="22"/>
        </w:rPr>
        <w:t xml:space="preserve">Proceeds fund the phased capital programme itemized in the Model's Capex sheet: 40% hospital and institutes construction; 18% medical equipment and IT; 7% academic campus; 5% research facilities; 11% hospitality and residential; 9.5% utilities and renewables; and the balance to public realm, owner's costs and contingency. Bond proceeds are escrowed and released only against independent engineer certification of construction milestones.</w:t>
      </w:r>
    </w:p>
    <w:p>
      <w:pPr>
        <w:pStyle w:val="Heading1"/>
        <w:spacing w:after="200" w:before="360"/>
      </w:pPr>
      <w:r>
        <w:rPr>
          <w:rFonts w:ascii="Georgia" w:cs="Georgia" w:eastAsia="Georgia" w:hAnsi="Georgia"/>
          <w:b/>
          <w:bCs/>
          <w:color w:val="1F3B57"/>
          <w:sz w:val="30"/>
          <w:szCs w:val="30"/>
        </w:rPr>
        <w:t xml:space="preserve">5. Financial Highlights</w:t>
      </w:r>
    </w:p>
    <w:p>
      <w:pPr>
        <w:spacing w:after="160" w:line="276"/>
        <w:jc w:val="both"/>
      </w:pPr>
      <w:r>
        <w:rPr>
          <w:rFonts w:ascii="Georgia" w:cs="Georgia" w:eastAsia="Georgia" w:hAnsi="Georgia"/>
          <w:sz w:val="22"/>
          <w:szCs w:val="22"/>
        </w:rPr>
        <w:t xml:space="preserve">From the accompanying 30-year Model (mid-case, base assumptions): construction 2027–2031 for Phase 1 with opening-year 2031 revenue of ~US$68m; revenue of ~US$550m by 2040 and ~US$900m by 2050 with EBITDA margins maturing above 30%; a standby facility peaking at ~US$340m covers construction-period interest and ramp-up and is repaid by 2043; the base-case unlevered post-tax project IRR is ~9%, with the high scenario (+15% revenue) toward the mid-teens and further documented upside from international patient mix, tariff realization and the non-modelled terminal value of a perpetual-life campus. The Model is deliberately conservative and fully adjustable; investors are invited to interrogate every assumption.</w:t>
      </w:r>
    </w:p>
    <w:p>
      <w:pPr>
        <w:pStyle w:val="Heading1"/>
        <w:spacing w:after="200" w:before="360"/>
      </w:pPr>
      <w:r>
        <w:rPr>
          <w:rFonts w:ascii="Georgia" w:cs="Georgia" w:eastAsia="Georgia" w:hAnsi="Georgia"/>
          <w:b/>
          <w:bCs/>
          <w:color w:val="1F3B57"/>
          <w:sz w:val="30"/>
          <w:szCs w:val="30"/>
        </w:rPr>
        <w:t xml:space="preserve">6. Governance and Investor Protections</w:t>
      </w:r>
    </w:p>
    <w:p>
      <w:pPr>
        <w:pStyle w:val="ListParagraph"/>
        <w:numPr>
          <w:ilvl w:val="0"/>
          <w:numId w:val="2"/>
        </w:numPr>
        <w:spacing w:after="100" w:line="264"/>
        <w:jc w:val="both"/>
      </w:pPr>
      <w:r>
        <w:rPr>
          <w:rFonts w:ascii="Georgia" w:cs="Georgia" w:eastAsia="Georgia" w:hAnsi="Georgia"/>
          <w:sz w:val="22"/>
          <w:szCs w:val="22"/>
        </w:rPr>
        <w:t xml:space="preserve">Independent international bond trustee holding escrowed proceeds and security.</w:t>
      </w:r>
    </w:p>
    <w:p>
      <w:pPr>
        <w:pStyle w:val="ListParagraph"/>
        <w:numPr>
          <w:ilvl w:val="0"/>
          <w:numId w:val="2"/>
        </w:numPr>
        <w:spacing w:after="100" w:line="264"/>
        <w:jc w:val="both"/>
      </w:pPr>
      <w:r>
        <w:rPr>
          <w:rFonts w:ascii="Georgia" w:cs="Georgia" w:eastAsia="Georgia" w:hAnsi="Georgia"/>
          <w:sz w:val="22"/>
          <w:szCs w:val="22"/>
        </w:rPr>
        <w:t xml:space="preserve">Covenanted use of proceeds with milestone-certified drawdowns and quarterly investor reporting.</w:t>
      </w:r>
    </w:p>
    <w:p>
      <w:pPr>
        <w:pStyle w:val="ListParagraph"/>
        <w:numPr>
          <w:ilvl w:val="0"/>
          <w:numId w:val="2"/>
        </w:numPr>
        <w:spacing w:after="100" w:line="264"/>
        <w:jc w:val="both"/>
      </w:pPr>
      <w:r>
        <w:rPr>
          <w:rFonts w:ascii="Georgia" w:cs="Georgia" w:eastAsia="Georgia" w:hAnsi="Georgia"/>
          <w:sz w:val="22"/>
          <w:szCs w:val="22"/>
        </w:rPr>
        <w:t xml:space="preserve">SOAD-nominated directors and Endowment trustees; independent audit; DFI-standard integrity and procurement policies.</w:t>
      </w:r>
    </w:p>
    <w:p>
      <w:pPr>
        <w:pStyle w:val="ListParagraph"/>
        <w:numPr>
          <w:ilvl w:val="0"/>
          <w:numId w:val="2"/>
        </w:numPr>
        <w:spacing w:after="100" w:line="264"/>
        <w:jc w:val="both"/>
      </w:pPr>
      <w:r>
        <w:rPr>
          <w:rFonts w:ascii="Georgia" w:cs="Georgia" w:eastAsia="Georgia" w:hAnsi="Georgia"/>
          <w:sz w:val="22"/>
          <w:szCs w:val="22"/>
        </w:rPr>
        <w:t xml:space="preserve">Minority protections: pre-emption, tag-along, reserved matters, related-party transaction controls.</w:t>
      </w:r>
    </w:p>
    <w:p>
      <w:pPr>
        <w:pStyle w:val="ListParagraph"/>
        <w:numPr>
          <w:ilvl w:val="0"/>
          <w:numId w:val="2"/>
        </w:numPr>
        <w:spacing w:after="100" w:line="264"/>
        <w:jc w:val="both"/>
      </w:pPr>
      <w:r>
        <w:rPr>
          <w:rFonts w:ascii="Georgia" w:cs="Georgia" w:eastAsia="Georgia" w:hAnsi="Georgia"/>
          <w:sz w:val="22"/>
          <w:szCs w:val="22"/>
        </w:rPr>
        <w:t xml:space="preserve">Annual audited financial statements and published quality, safety and impact dashboards.</w:t>
      </w:r>
    </w:p>
    <w:p>
      <w:pPr>
        <w:pStyle w:val="Heading1"/>
        <w:spacing w:after="200" w:before="360"/>
      </w:pPr>
      <w:r>
        <w:rPr>
          <w:rFonts w:ascii="Georgia" w:cs="Georgia" w:eastAsia="Georgia" w:hAnsi="Georgia"/>
          <w:b/>
          <w:bCs/>
          <w:color w:val="1F3B57"/>
          <w:sz w:val="30"/>
          <w:szCs w:val="30"/>
        </w:rPr>
        <w:t xml:space="preserve">7. Liquidity and Exit</w:t>
      </w:r>
    </w:p>
    <w:p>
      <w:pPr>
        <w:spacing w:after="160" w:line="276"/>
        <w:jc w:val="both"/>
      </w:pPr>
      <w:r>
        <w:rPr>
          <w:rFonts w:ascii="Georgia" w:cs="Georgia" w:eastAsia="Georgia" w:hAnsi="Georgia"/>
          <w:sz w:val="22"/>
          <w:szCs w:val="22"/>
        </w:rPr>
        <w:t xml:space="preserve">Bonds: amortization or refinancing at tenor, with a targeted secondary listing on a recognized exchange to provide tradability. Equity: dividend flows from stabilization; medium-term liquidity pathways include sale to infrastructure or healthcare funds, refinancing recapitalization, or a public listing of the mature operating company; the concession's long life supports a hold-to-yield strategy for anchor investors. No liquidity is guaranteed; timelines depend on market conditions and performance.</w:t>
      </w:r>
    </w:p>
    <w:p>
      <w:pPr>
        <w:pStyle w:val="Heading1"/>
        <w:spacing w:after="200" w:before="360"/>
      </w:pPr>
      <w:r>
        <w:rPr>
          <w:rFonts w:ascii="Georgia" w:cs="Georgia" w:eastAsia="Georgia" w:hAnsi="Georgia"/>
          <w:b/>
          <w:bCs/>
          <w:color w:val="1F3B57"/>
          <w:sz w:val="30"/>
          <w:szCs w:val="30"/>
        </w:rPr>
        <w:t xml:space="preserve">8. Principal Risk Factors</w:t>
      </w:r>
    </w:p>
    <w:p>
      <w:pPr>
        <w:spacing w:after="160" w:line="276"/>
        <w:jc w:val="both"/>
      </w:pPr>
      <w:r>
        <w:rPr>
          <w:rFonts w:ascii="Georgia" w:cs="Georgia" w:eastAsia="Georgia" w:hAnsi="Georgia"/>
          <w:sz w:val="22"/>
          <w:szCs w:val="22"/>
        </w:rPr>
        <w:t xml:space="preserve">Investors may lose part or all of their investment. Principal risks — detailed in the Business Proposal and Risk Register — include: construction cost and delay; slower demand ramp-up; specialist staffing; naira volatility and transfer risk; changes in law or policy over a multi-decade horizon; operating and clinical quality risk; security conditions; regulatory approval risk for the offerings themselves; and the early, pre-feasibility stage of the project, whose figures remain planning estimates. Mitigations are structured but cannot eliminate these risks.</w:t>
      </w:r>
    </w:p>
    <w:p>
      <w:pPr>
        <w:pStyle w:val="Heading1"/>
        <w:spacing w:after="200" w:before="360"/>
      </w:pPr>
      <w:r>
        <w:rPr>
          <w:rFonts w:ascii="Georgia" w:cs="Georgia" w:eastAsia="Georgia" w:hAnsi="Georgia"/>
          <w:b/>
          <w:bCs/>
          <w:color w:val="1F3B57"/>
          <w:sz w:val="30"/>
          <w:szCs w:val="30"/>
        </w:rPr>
        <w:t xml:space="preserve">9. Subscription Pathway</w:t>
      </w:r>
    </w:p>
    <w:p>
      <w:pPr>
        <w:pStyle w:val="ListParagraph"/>
        <w:numPr>
          <w:ilvl w:val="0"/>
          <w:numId w:val="2"/>
        </w:numPr>
        <w:spacing w:after="100" w:line="264"/>
        <w:jc w:val="both"/>
      </w:pPr>
      <w:r>
        <w:rPr>
          <w:rFonts w:ascii="Georgia" w:cs="Georgia" w:eastAsia="Georgia" w:hAnsi="Georgia"/>
          <w:sz w:val="22"/>
          <w:szCs w:val="22"/>
        </w:rPr>
        <w:t xml:space="preserve">Stage 1 (now): expressions of interest and anchor discussions with SOAD and institutional partners; no funds accepted.</w:t>
      </w:r>
    </w:p>
    <w:p>
      <w:pPr>
        <w:pStyle w:val="ListParagraph"/>
        <w:numPr>
          <w:ilvl w:val="0"/>
          <w:numId w:val="2"/>
        </w:numPr>
        <w:spacing w:after="100" w:line="264"/>
        <w:jc w:val="both"/>
      </w:pPr>
      <w:r>
        <w:rPr>
          <w:rFonts w:ascii="Georgia" w:cs="Georgia" w:eastAsia="Georgia" w:hAnsi="Georgia"/>
          <w:sz w:val="22"/>
          <w:szCs w:val="22"/>
        </w:rPr>
        <w:t xml:space="preserve">Stage 2: completion of feasibility, definitive PPDP agreements and regulatory approvals of offering documents in each jurisdiction.</w:t>
      </w:r>
    </w:p>
    <w:p>
      <w:pPr>
        <w:pStyle w:val="ListParagraph"/>
        <w:numPr>
          <w:ilvl w:val="0"/>
          <w:numId w:val="2"/>
        </w:numPr>
        <w:spacing w:after="100" w:line="264"/>
        <w:jc w:val="both"/>
      </w:pPr>
      <w:r>
        <w:rPr>
          <w:rFonts w:ascii="Georgia" w:cs="Georgia" w:eastAsia="Georgia" w:hAnsi="Georgia"/>
          <w:sz w:val="22"/>
          <w:szCs w:val="22"/>
        </w:rPr>
        <w:t xml:space="preserve">Stage 3: anchor closing (SOAD, DFIs, strategic equity), then public Diaspora Bond Series 1 subscription through regulated channels with full offering documents.</w:t>
      </w:r>
    </w:p>
    <w:p>
      <w:pPr>
        <w:pStyle w:val="ListParagraph"/>
        <w:numPr>
          <w:ilvl w:val="0"/>
          <w:numId w:val="2"/>
        </w:numPr>
        <w:spacing w:after="100" w:line="264"/>
        <w:jc w:val="both"/>
      </w:pPr>
      <w:r>
        <w:rPr>
          <w:rFonts w:ascii="Georgia" w:cs="Georgia" w:eastAsia="Georgia" w:hAnsi="Georgia"/>
          <w:sz w:val="22"/>
          <w:szCs w:val="22"/>
        </w:rPr>
        <w:t xml:space="preserve">Stage 4: milestone-based drawdowns, quarterly reporting, and successive series matched to construction phases.</w:t>
      </w:r>
    </w:p>
    <w:p>
      <w:pPr>
        <w:pStyle w:val="Heading1"/>
        <w:spacing w:after="200" w:before="360"/>
      </w:pPr>
      <w:r>
        <w:rPr>
          <w:rFonts w:ascii="Georgia" w:cs="Georgia" w:eastAsia="Georgia" w:hAnsi="Georgia"/>
          <w:b/>
          <w:bCs/>
          <w:color w:val="1F3B57"/>
          <w:sz w:val="30"/>
          <w:szCs w:val="30"/>
        </w:rPr>
        <w:t xml:space="preserve">10. Frequently Asked Questions (Diaspora Investors)</w:t>
      </w:r>
    </w:p>
    <w:p>
      <w:pPr>
        <w:pStyle w:val="ListParagraph"/>
        <w:numPr>
          <w:ilvl w:val="0"/>
          <w:numId w:val="2"/>
        </w:numPr>
        <w:spacing w:after="100" w:line="264"/>
        <w:jc w:val="both"/>
      </w:pPr>
      <w:r>
        <w:rPr>
          <w:rFonts w:ascii="Georgia" w:cs="Georgia" w:eastAsia="Georgia" w:hAnsi="Georgia"/>
          <w:b/>
          <w:bCs/>
          <w:sz w:val="22"/>
          <w:szCs w:val="22"/>
        </w:rPr>
        <w:t xml:space="preserve">Why is this different from schemes that burned investors before? — </w:t>
      </w:r>
      <w:r>
        <w:rPr>
          <w:rFonts w:ascii="Georgia" w:cs="Georgia" w:eastAsia="Georgia" w:hAnsi="Georgia"/>
          <w:sz w:val="22"/>
          <w:szCs w:val="22"/>
        </w:rPr>
        <w:t xml:space="preserve">Because your money is trusteed, escrowed, milestone-released and audited — and because SOAD sits on the board you are trusting. You are not wiring funds to a stranger; you are subscribing through regulated channels to a governed instrument.</w:t>
      </w:r>
    </w:p>
    <w:p>
      <w:pPr>
        <w:pStyle w:val="ListParagraph"/>
        <w:numPr>
          <w:ilvl w:val="0"/>
          <w:numId w:val="2"/>
        </w:numPr>
        <w:spacing w:after="100" w:line="264"/>
        <w:jc w:val="both"/>
      </w:pPr>
      <w:r>
        <w:rPr>
          <w:rFonts w:ascii="Georgia" w:cs="Georgia" w:eastAsia="Georgia" w:hAnsi="Georgia"/>
          <w:b/>
          <w:bCs/>
          <w:sz w:val="22"/>
          <w:szCs w:val="22"/>
        </w:rPr>
        <w:t xml:space="preserve">How much do I need? — </w:t>
      </w:r>
      <w:r>
        <w:rPr>
          <w:rFonts w:ascii="Georgia" w:cs="Georgia" w:eastAsia="Georgia" w:hAnsi="Georgia"/>
          <w:sz w:val="22"/>
          <w:szCs w:val="22"/>
        </w:rPr>
        <w:t xml:space="preserve">From US$1,000 in the bond programme; equity participation thresholds are higher and set in final documents.</w:t>
      </w:r>
    </w:p>
    <w:p>
      <w:pPr>
        <w:pStyle w:val="ListParagraph"/>
        <w:numPr>
          <w:ilvl w:val="0"/>
          <w:numId w:val="2"/>
        </w:numPr>
        <w:spacing w:after="100" w:line="264"/>
        <w:jc w:val="both"/>
      </w:pPr>
      <w:r>
        <w:rPr>
          <w:rFonts w:ascii="Georgia" w:cs="Georgia" w:eastAsia="Georgia" w:hAnsi="Georgia"/>
          <w:b/>
          <w:bCs/>
          <w:sz w:val="22"/>
          <w:szCs w:val="22"/>
        </w:rPr>
        <w:t xml:space="preserve">What do I earn? — </w:t>
      </w:r>
      <w:r>
        <w:rPr>
          <w:rFonts w:ascii="Georgia" w:cs="Georgia" w:eastAsia="Georgia" w:hAnsi="Georgia"/>
          <w:sz w:val="22"/>
          <w:szCs w:val="22"/>
        </w:rPr>
        <w:t xml:space="preserve">A fixed coupon (indicatively 7% USD-linked) on bonds; equity targets capital growth and eventual dividends; philanthropy earns impact, recognition and legacy.</w:t>
      </w:r>
    </w:p>
    <w:p>
      <w:pPr>
        <w:pStyle w:val="ListParagraph"/>
        <w:numPr>
          <w:ilvl w:val="0"/>
          <w:numId w:val="2"/>
        </w:numPr>
        <w:spacing w:after="100" w:line="264"/>
        <w:jc w:val="both"/>
      </w:pPr>
      <w:r>
        <w:rPr>
          <w:rFonts w:ascii="Georgia" w:cs="Georgia" w:eastAsia="Georgia" w:hAnsi="Georgia"/>
          <w:b/>
          <w:bCs/>
          <w:sz w:val="22"/>
          <w:szCs w:val="22"/>
        </w:rPr>
        <w:t xml:space="preserve">Do investors get anything besides money? — </w:t>
      </w:r>
      <w:r>
        <w:rPr>
          <w:rFonts w:ascii="Georgia" w:cs="Georgia" w:eastAsia="Georgia" w:hAnsi="Georgia"/>
          <w:sz w:val="22"/>
          <w:szCs w:val="22"/>
        </w:rPr>
        <w:t xml:space="preserve">Yes — treatment priority programmes, campus heritage visits and investor assemblies are planned benefits for bondholders and shareholders, detailed in final documents.</w:t>
      </w:r>
    </w:p>
    <w:p>
      <w:pPr>
        <w:pStyle w:val="ListParagraph"/>
        <w:numPr>
          <w:ilvl w:val="0"/>
          <w:numId w:val="2"/>
        </w:numPr>
        <w:spacing w:after="100" w:line="264"/>
        <w:jc w:val="both"/>
      </w:pPr>
      <w:r>
        <w:rPr>
          <w:rFonts w:ascii="Georgia" w:cs="Georgia" w:eastAsia="Georgia" w:hAnsi="Georgia"/>
          <w:b/>
          <w:bCs/>
          <w:sz w:val="22"/>
          <w:szCs w:val="22"/>
        </w:rPr>
        <w:t xml:space="preserve">What is the catch? — </w:t>
      </w:r>
      <w:r>
        <w:rPr>
          <w:rFonts w:ascii="Georgia" w:cs="Georgia" w:eastAsia="Georgia" w:hAnsi="Georgia"/>
          <w:sz w:val="22"/>
          <w:szCs w:val="22"/>
        </w:rPr>
        <w:t xml:space="preserve">Construction takes years and returns are back-loaded; this is patient, nation-building capital with risks stated plainly in Section 8.</w:t>
      </w:r>
    </w:p>
    <w:p>
      <w:pPr>
        <w:spacing w:after="60" w:before="300"/>
      </w:pPr>
      <w:r>
        <w:rPr>
          <w:rFonts w:ascii="Georgia" w:cs="Georgia" w:eastAsia="Georgia" w:hAnsi="Georgia"/>
          <w:b/>
          <w:bCs/>
          <w:color w:val="1F3B57"/>
          <w:sz w:val="24"/>
          <w:szCs w:val="24"/>
        </w:rPr>
        <w:t xml:space="preserve">Contact</w:t>
      </w:r>
    </w:p>
    <w:p>
      <w:pPr>
        <w:spacing w:after="160" w:line="276"/>
        <w:jc w:val="both"/>
      </w:pPr>
      <w:r>
        <w:rPr>
          <w:rFonts w:ascii="Georgia" w:cs="Georgia" w:eastAsia="Georgia" w:hAnsi="Georgia"/>
          <w:sz w:val="22"/>
          <w:szCs w:val="22"/>
        </w:rPr>
        <w:t xml:space="preserve">Prepared by: Dr. Korede Olumide Oluwatuyi, MBBS, FWACP (Paediatrics), FISN/IPNA (Calgary), PhD (Public Health, in view)</w:t>
      </w:r>
    </w:p>
    <w:p>
      <w:pPr>
        <w:spacing w:after="160" w:line="276"/>
        <w:jc w:val="both"/>
      </w:pPr>
      <w:r>
        <w:rPr>
          <w:rFonts w:ascii="Georgia" w:cs="Georgia" w:eastAsia="Georgia" w:hAnsi="Georgia"/>
          <w:sz w:val="22"/>
          <w:szCs w:val="22"/>
        </w:rPr>
        <w:t xml:space="preserve">Consultant Paediatric Nephrologist | Senior Lecturer | Health Systems Strategist | Clinical Research Leader | Nigeria Medicare City Development Consultant</w:t>
      </w:r>
    </w:p>
    <w:p>
      <w:pPr>
        <w:spacing w:after="160" w:line="276"/>
        <w:jc w:val="both"/>
      </w:pPr>
      <w:r>
        <w:rPr>
          <w:rFonts w:ascii="Georgia" w:cs="Georgia" w:eastAsia="Georgia" w:hAnsi="Georgia"/>
          <w:sz w:val="22"/>
          <w:szCs w:val="22"/>
        </w:rPr>
        <w:t xml:space="preserve">Abuja, Federal Capital Territory, Nigeria</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595959"/>
        <w:sz w:val="16"/>
        <w:szCs w:val="16"/>
      </w:rPr>
      <w:t xml:space="preserve">Not an offer of securities  |  Confidential  |  Page </w:t>
    </w:r>
    <w:r>
      <w:rPr>
        <w:rFonts w:ascii="Georgia" w:cs="Georgia" w:eastAsia="Georgia" w:hAnsi="Georgia"/>
        <w:color w:val="59595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Georgia" w:cs="Georgia" w:eastAsia="Georgia" w:hAnsi="Georgia"/>
        <w:i/>
        <w:iCs/>
        <w:color w:val="595959"/>
        <w:sz w:val="16"/>
        <w:szCs w:val="16"/>
      </w:rPr>
      <w:t xml:space="preserve">NMC — Indicative Investment Prospectus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1F3B57"/>
      <w:sz w:val="30"/>
      <w:szCs w:val="30"/>
    </w:rPr>
  </w:style>
  <w:style w:type="paragraph" w:styleId="Heading2">
    <w:name w:val="Heading 2"/>
    <w:basedOn w:val="Normal"/>
    <w:next w:val="Normal"/>
    <w:qFormat/>
    <w:rPr>
      <w:rFonts w:ascii="Georgia" w:cs="Georgia" w:eastAsia="Georgia" w:hAnsi="Georgia"/>
      <w:b/>
      <w:bCs/>
      <w:color w:val="8A6D1F"/>
      <w:sz w:val="25"/>
      <w:szCs w:val="25"/>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2026-08-08T23:25:43.207Z</dcterms:created>
  <dcterms:modified xsi:type="dcterms:W3CDTF">2026-08-08T23:25:43.207Z</dcterms:modified>
</cp:coreProperties>
</file>

<file path=docProps/custom.xml><?xml version="1.0" encoding="utf-8"?>
<Properties xmlns="http://schemas.openxmlformats.org/officeDocument/2006/custom-properties" xmlns:vt="http://schemas.openxmlformats.org/officeDocument/2006/docPropsVTypes"/>
</file>