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spacing w:after="120"/>
        <w:jc w:val="center"/>
      </w:pPr>
      <w:r>
        <w:rPr>
          <w:rFonts w:ascii="Georgia" w:cs="Georgia" w:eastAsia="Georgia" w:hAnsi="Georgia"/>
          <w:b/>
          <w:bCs/>
          <w:color w:val="8A6D1F"/>
          <w:spacing w:val="60"/>
          <w:sz w:val="26"/>
          <w:szCs w:val="26"/>
        </w:rPr>
        <w:t xml:space="preserve">FULL BUSINESS PROPOSAL</w:t>
      </w:r>
    </w:p>
    <w:p>
      <w:pPr>
        <w:spacing w:after="200"/>
        <w:jc w:val="center"/>
      </w:pPr>
      <w:r>
        <w:rPr>
          <w:rFonts w:ascii="Georgia" w:cs="Georgia" w:eastAsia="Georgia" w:hAnsi="Georgia"/>
          <w:b/>
          <w:bCs/>
          <w:color w:val="1F3B57"/>
          <w:sz w:val="52"/>
          <w:szCs w:val="52"/>
        </w:rPr>
        <w:t xml:space="preserve">NIGERIA MEDICARE CITY</w:t>
      </w:r>
    </w:p>
    <w:p>
      <w:pPr>
        <w:pBdr>
          <w:bottom w:val="single" w:color="8A6D1F" w:sz="8" w:space="8"/>
        </w:pBdr>
        <w:spacing w:after="500"/>
        <w:jc w:val="center"/>
      </w:pPr>
      <w:r>
        <w:rPr>
          <w:rFonts w:ascii="Georgia" w:cs="Georgia" w:eastAsia="Georgia" w:hAnsi="Georgia"/>
          <w:i/>
          <w:iCs/>
          <w:color w:val="595959"/>
          <w:sz w:val="26"/>
          <w:szCs w:val="26"/>
        </w:rPr>
        <w:t xml:space="preserve">A World-Class Healthcare, Research, Innovation and Wellness City</w:t>
      </w:r>
    </w:p>
    <w:p>
      <w:pPr>
        <w:spacing w:after="100" w:before="600"/>
        <w:jc w:val="center"/>
      </w:pPr>
      <w:r>
        <w:rPr>
          <w:rFonts w:ascii="Georgia" w:cs="Georgia" w:eastAsia="Georgia" w:hAnsi="Georgia"/>
          <w:sz w:val="24"/>
          <w:szCs w:val="24"/>
        </w:rPr>
        <w:t xml:space="preserve">Federal Capital Territory (Abuja), Federal Republic of Nigeria</w:t>
      </w:r>
    </w:p>
    <w:p>
      <w:pPr>
        <w:spacing w:after="100"/>
        <w:jc w:val="center"/>
      </w:pPr>
      <w:r>
        <w:rPr>
          <w:rFonts w:ascii="Georgia" w:cs="Georgia" w:eastAsia="Georgia" w:hAnsi="Georgia"/>
          <w:color w:val="595959"/>
          <w:sz w:val="22"/>
          <w:szCs w:val="22"/>
        </w:rPr>
        <w:t xml:space="preserve">600–1,000 Hectares   |   US$1.5–2.5 Billion   |   Public–Private–Diaspora Partnership</w:t>
      </w:r>
    </w:p>
    <w:p>
      <w:pPr>
        <w:spacing w:after="40" w:before="1200"/>
        <w:jc w:val="center"/>
      </w:pPr>
      <w:r>
        <w:rPr>
          <w:rFonts w:ascii="Georgia" w:cs="Georgia" w:eastAsia="Georgia" w:hAnsi="Georgia"/>
          <w:b/>
          <w:bCs/>
          <w:color w:val="1F3B57"/>
          <w:sz w:val="22"/>
          <w:szCs w:val="22"/>
        </w:rPr>
        <w:t xml:space="preserve">Submitted to the State of the African Diaspora (SOAD)</w:t>
      </w:r>
    </w:p>
    <w:p>
      <w:pPr>
        <w:spacing w:after="40"/>
        <w:jc w:val="center"/>
      </w:pPr>
      <w:r>
        <w:rPr>
          <w:rFonts w:ascii="Georgia" w:cs="Georgia" w:eastAsia="Georgia" w:hAnsi="Georgia"/>
          <w:color w:val="595959"/>
          <w:sz w:val="20"/>
          <w:szCs w:val="20"/>
        </w:rPr>
        <w:t xml:space="preserve">Prepared by Dr. Korede Olumide Oluwatuyi, MBBS, FWACP (Paediatrics), FISN/IPNA (Calgary), PhD (Public Health, in view)</w:t>
      </w:r>
    </w:p>
    <w:p>
      <w:pPr>
        <w:jc w:val="center"/>
      </w:pPr>
      <w:r>
        <w:rPr>
          <w:rFonts w:ascii="Georgia" w:cs="Georgia" w:eastAsia="Georgia" w:hAnsi="Georgia"/>
          <w:color w:val="595959"/>
          <w:sz w:val="20"/>
          <w:szCs w:val="20"/>
        </w:rPr>
        <w:t xml:space="preserve">July 2026  |  Strictly Confidential</w:t>
      </w:r>
    </w:p>
    <w:p>
      <w:r>
        <w:br w:type="page"/>
      </w:r>
    </w:p>
    <w:p>
      <w:pPr>
        <w:spacing w:after="160"/>
      </w:pPr>
      <w:r>
        <w:rPr>
          <w:rFonts w:ascii="Georgia" w:cs="Georgia" w:eastAsia="Georgia" w:hAnsi="Georgia"/>
          <w:b/>
          <w:bCs/>
          <w:color w:val="1F3B57"/>
          <w:sz w:val="30"/>
          <w:szCs w:val="30"/>
        </w:rPr>
        <w:t xml:space="preserve">Contents</w:t>
      </w:r>
    </w:p>
    <w:p>
      <w:pPr>
        <w:tabs>
          <w:tab w:val="right" w:pos="9350" w:leader="dot"/>
        </w:tabs>
        <w:spacing w:after="40" w:before="120"/>
      </w:pPr>
      <w:r>
        <w:rPr>
          <w:rFonts w:ascii="Georgia" w:cs="Georgia" w:eastAsia="Georgia" w:hAnsi="Georgia"/>
          <w:b/>
          <w:bCs/>
          <w:color w:val="1F3B57"/>
          <w:sz w:val="20"/>
          <w:szCs w:val="20"/>
        </w:rPr>
        <w:t xml:space="preserve">PART A — THE OPPORTUNITY</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1. Executive Overview</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2. Project Development Leadership</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3. Vision, Mission and Values</w:t>
      </w:r>
      <w:r>
        <w:rPr>
          <w:rFonts w:ascii="Georgia" w:cs="Georgia" w:eastAsia="Georgia" w:hAnsi="Georgia"/>
          <w:color w:val="595959"/>
          <w:sz w:val="20"/>
          <w:szCs w:val="20"/>
        </w:rPr>
        <w:t xml:space="preserve">	4</w:t>
      </w:r>
    </w:p>
    <w:p>
      <w:pPr>
        <w:tabs>
          <w:tab w:val="right" w:pos="9350" w:leader="dot"/>
        </w:tabs>
        <w:spacing w:after="40" w:before="0"/>
      </w:pPr>
      <w:r>
        <w:rPr>
          <w:rFonts w:ascii="Georgia" w:cs="Georgia" w:eastAsia="Georgia" w:hAnsi="Georgia"/>
          <w:b w:val="false"/>
          <w:bCs w:val="false"/>
          <w:color w:val="000000"/>
          <w:sz w:val="20"/>
          <w:szCs w:val="20"/>
        </w:rPr>
        <w:t xml:space="preserve">4. The SOAD Partnership</w:t>
      </w:r>
      <w:r>
        <w:rPr>
          <w:rFonts w:ascii="Georgia" w:cs="Georgia" w:eastAsia="Georgia" w:hAnsi="Georgia"/>
          <w:color w:val="595959"/>
          <w:sz w:val="20"/>
          <w:szCs w:val="20"/>
        </w:rPr>
        <w:t xml:space="preserve">	4</w:t>
      </w:r>
    </w:p>
    <w:p>
      <w:pPr>
        <w:tabs>
          <w:tab w:val="right" w:pos="9350" w:leader="dot"/>
        </w:tabs>
        <w:spacing w:after="40" w:before="120"/>
      </w:pPr>
      <w:r>
        <w:rPr>
          <w:rFonts w:ascii="Georgia" w:cs="Georgia" w:eastAsia="Georgia" w:hAnsi="Georgia"/>
          <w:b/>
          <w:bCs/>
          <w:color w:val="1F3B57"/>
          <w:sz w:val="20"/>
          <w:szCs w:val="20"/>
        </w:rPr>
        <w:t xml:space="preserve">PART B — THE MARKET</w:t>
      </w:r>
      <w:r>
        <w:rPr>
          <w:rFonts w:ascii="Georgia" w:cs="Georgia" w:eastAsia="Georgia" w:hAnsi="Georgia"/>
          <w:color w:val="595959"/>
          <w:sz w:val="20"/>
          <w:szCs w:val="20"/>
        </w:rPr>
        <w:t xml:space="preserve">	4</w:t>
      </w:r>
    </w:p>
    <w:p>
      <w:pPr>
        <w:tabs>
          <w:tab w:val="right" w:pos="9350" w:leader="dot"/>
        </w:tabs>
        <w:spacing w:after="40" w:before="0"/>
      </w:pPr>
      <w:r>
        <w:rPr>
          <w:rFonts w:ascii="Georgia" w:cs="Georgia" w:eastAsia="Georgia" w:hAnsi="Georgia"/>
          <w:b w:val="false"/>
          <w:bCs w:val="false"/>
          <w:color w:val="000000"/>
          <w:sz w:val="20"/>
          <w:szCs w:val="20"/>
        </w:rPr>
        <w:t xml:space="preserve">5. Market Analysis</w:t>
      </w:r>
      <w:r>
        <w:rPr>
          <w:rFonts w:ascii="Georgia" w:cs="Georgia" w:eastAsia="Georgia" w:hAnsi="Georgia"/>
          <w:color w:val="595959"/>
          <w:sz w:val="20"/>
          <w:szCs w:val="20"/>
        </w:rPr>
        <w:t xml:space="preserve">	4</w:t>
      </w:r>
    </w:p>
    <w:p>
      <w:pPr>
        <w:tabs>
          <w:tab w:val="right" w:pos="9350" w:leader="dot"/>
        </w:tabs>
        <w:spacing w:after="40" w:before="0"/>
      </w:pPr>
      <w:r>
        <w:rPr>
          <w:rFonts w:ascii="Georgia" w:cs="Georgia" w:eastAsia="Georgia" w:hAnsi="Georgia"/>
          <w:b w:val="false"/>
          <w:bCs w:val="false"/>
          <w:color w:val="000000"/>
          <w:sz w:val="20"/>
          <w:szCs w:val="20"/>
        </w:rPr>
        <w:t xml:space="preserve">6. Competitive Positioning and Differentiation</w:t>
      </w:r>
      <w:r>
        <w:rPr>
          <w:rFonts w:ascii="Georgia" w:cs="Georgia" w:eastAsia="Georgia" w:hAnsi="Georgia"/>
          <w:color w:val="595959"/>
          <w:sz w:val="20"/>
          <w:szCs w:val="20"/>
        </w:rPr>
        <w:t xml:space="preserve">	5</w:t>
      </w:r>
    </w:p>
    <w:p>
      <w:pPr>
        <w:tabs>
          <w:tab w:val="right" w:pos="9350" w:leader="dot"/>
        </w:tabs>
        <w:spacing w:after="40" w:before="120"/>
      </w:pPr>
      <w:r>
        <w:rPr>
          <w:rFonts w:ascii="Georgia" w:cs="Georgia" w:eastAsia="Georgia" w:hAnsi="Georgia"/>
          <w:b/>
          <w:bCs/>
          <w:color w:val="1F3B57"/>
          <w:sz w:val="20"/>
          <w:szCs w:val="20"/>
        </w:rPr>
        <w:t xml:space="preserve">PART C — THE PROJECT</w:t>
      </w:r>
      <w:r>
        <w:rPr>
          <w:rFonts w:ascii="Georgia" w:cs="Georgia" w:eastAsia="Georgia" w:hAnsi="Georgia"/>
          <w:color w:val="595959"/>
          <w:sz w:val="20"/>
          <w:szCs w:val="20"/>
        </w:rPr>
        <w:t xml:space="preserve">	6</w:t>
      </w:r>
    </w:p>
    <w:p>
      <w:pPr>
        <w:tabs>
          <w:tab w:val="right" w:pos="9350" w:leader="dot"/>
        </w:tabs>
        <w:spacing w:after="40" w:before="0"/>
      </w:pPr>
      <w:r>
        <w:rPr>
          <w:rFonts w:ascii="Georgia" w:cs="Georgia" w:eastAsia="Georgia" w:hAnsi="Georgia"/>
          <w:b w:val="false"/>
          <w:bCs w:val="false"/>
          <w:color w:val="000000"/>
          <w:sz w:val="20"/>
          <w:szCs w:val="20"/>
        </w:rPr>
        <w:t xml:space="preserve">7. Site and Land Use Plan</w:t>
      </w:r>
      <w:r>
        <w:rPr>
          <w:rFonts w:ascii="Georgia" w:cs="Georgia" w:eastAsia="Georgia" w:hAnsi="Georgia"/>
          <w:color w:val="595959"/>
          <w:sz w:val="20"/>
          <w:szCs w:val="20"/>
        </w:rPr>
        <w:t xml:space="preserve">	6</w:t>
      </w:r>
    </w:p>
    <w:p>
      <w:pPr>
        <w:tabs>
          <w:tab w:val="right" w:pos="9350" w:leader="dot"/>
        </w:tabs>
        <w:spacing w:after="40" w:before="0"/>
      </w:pPr>
      <w:r>
        <w:rPr>
          <w:rFonts w:ascii="Georgia" w:cs="Georgia" w:eastAsia="Georgia" w:hAnsi="Georgia"/>
          <w:b w:val="false"/>
          <w:bCs w:val="false"/>
          <w:color w:val="000000"/>
          <w:sz w:val="20"/>
          <w:szCs w:val="20"/>
        </w:rPr>
        <w:t xml:space="preserve">8. Medical Master Plan and Clinical Service Lines</w:t>
      </w:r>
      <w:r>
        <w:rPr>
          <w:rFonts w:ascii="Georgia" w:cs="Georgia" w:eastAsia="Georgia" w:hAnsi="Georgia"/>
          <w:color w:val="595959"/>
          <w:sz w:val="20"/>
          <w:szCs w:val="20"/>
        </w:rPr>
        <w:t xml:space="preserve">	6</w:t>
      </w:r>
    </w:p>
    <w:p>
      <w:pPr>
        <w:tabs>
          <w:tab w:val="right" w:pos="9350" w:leader="dot"/>
        </w:tabs>
        <w:spacing w:after="40" w:before="0"/>
      </w:pPr>
      <w:r>
        <w:rPr>
          <w:rFonts w:ascii="Georgia" w:cs="Georgia" w:eastAsia="Georgia" w:hAnsi="Georgia"/>
          <w:b w:val="false"/>
          <w:bCs w:val="false"/>
          <w:color w:val="000000"/>
          <w:sz w:val="20"/>
          <w:szCs w:val="20"/>
        </w:rPr>
        <w:t xml:space="preserve">9. Academic and Research Plan</w:t>
      </w:r>
      <w:r>
        <w:rPr>
          <w:rFonts w:ascii="Georgia" w:cs="Georgia" w:eastAsia="Georgia" w:hAnsi="Georgia"/>
          <w:color w:val="595959"/>
          <w:sz w:val="20"/>
          <w:szCs w:val="20"/>
        </w:rPr>
        <w:t xml:space="preserve">	7</w:t>
      </w:r>
    </w:p>
    <w:p>
      <w:pPr>
        <w:tabs>
          <w:tab w:val="right" w:pos="9350" w:leader="dot"/>
        </w:tabs>
        <w:spacing w:after="40" w:before="0"/>
      </w:pPr>
      <w:r>
        <w:rPr>
          <w:rFonts w:ascii="Georgia" w:cs="Georgia" w:eastAsia="Georgia" w:hAnsi="Georgia"/>
          <w:b w:val="false"/>
          <w:bCs w:val="false"/>
          <w:color w:val="000000"/>
          <w:sz w:val="20"/>
          <w:szCs w:val="20"/>
        </w:rPr>
        <w:t xml:space="preserve">10. Support Services, Nutrition and Campus Logistics</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11. Hospitality and Commercial District</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12. Digital Health and Smart City Strategy</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13. Utilities, Renewable Energy, Water and Waste</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14. Security and Disaster Preparedness</w:t>
      </w:r>
      <w:r>
        <w:rPr>
          <w:rFonts w:ascii="Georgia" w:cs="Georgia" w:eastAsia="Georgia" w:hAnsi="Georgia"/>
          <w:color w:val="595959"/>
          <w:sz w:val="20"/>
          <w:szCs w:val="20"/>
        </w:rPr>
        <w:t xml:space="preserve">	9</w:t>
      </w:r>
    </w:p>
    <w:p>
      <w:pPr>
        <w:tabs>
          <w:tab w:val="right" w:pos="9350" w:leader="dot"/>
        </w:tabs>
        <w:spacing w:after="40" w:before="120"/>
      </w:pPr>
      <w:r>
        <w:rPr>
          <w:rFonts w:ascii="Georgia" w:cs="Georgia" w:eastAsia="Georgia" w:hAnsi="Georgia"/>
          <w:b/>
          <w:bCs/>
          <w:color w:val="1F3B57"/>
          <w:sz w:val="20"/>
          <w:szCs w:val="20"/>
        </w:rPr>
        <w:t xml:space="preserve">PART D — DELIVERY</w:t>
      </w:r>
      <w:r>
        <w:rPr>
          <w:rFonts w:ascii="Georgia" w:cs="Georgia" w:eastAsia="Georgia" w:hAnsi="Georgia"/>
          <w:color w:val="595959"/>
          <w:sz w:val="20"/>
          <w:szCs w:val="20"/>
        </w:rPr>
        <w:t xml:space="preserve">	9</w:t>
      </w:r>
    </w:p>
    <w:p>
      <w:pPr>
        <w:tabs>
          <w:tab w:val="right" w:pos="9350" w:leader="dot"/>
        </w:tabs>
        <w:spacing w:after="40" w:before="0"/>
      </w:pPr>
      <w:r>
        <w:rPr>
          <w:rFonts w:ascii="Georgia" w:cs="Georgia" w:eastAsia="Georgia" w:hAnsi="Georgia"/>
          <w:b w:val="false"/>
          <w:bCs w:val="false"/>
          <w:color w:val="000000"/>
          <w:sz w:val="20"/>
          <w:szCs w:val="20"/>
        </w:rPr>
        <w:t xml:space="preserve">15. Construction Phasing</w:t>
      </w:r>
      <w:r>
        <w:rPr>
          <w:rFonts w:ascii="Georgia" w:cs="Georgia" w:eastAsia="Georgia" w:hAnsi="Georgia"/>
          <w:color w:val="595959"/>
          <w:sz w:val="20"/>
          <w:szCs w:val="20"/>
        </w:rPr>
        <w:t xml:space="preserve">	9</w:t>
      </w:r>
    </w:p>
    <w:p>
      <w:pPr>
        <w:tabs>
          <w:tab w:val="right" w:pos="9350" w:leader="dot"/>
        </w:tabs>
        <w:spacing w:after="40" w:before="0"/>
      </w:pPr>
      <w:r>
        <w:rPr>
          <w:rFonts w:ascii="Georgia" w:cs="Georgia" w:eastAsia="Georgia" w:hAnsi="Georgia"/>
          <w:b w:val="false"/>
          <w:bCs w:val="false"/>
          <w:color w:val="000000"/>
          <w:sz w:val="20"/>
          <w:szCs w:val="20"/>
        </w:rPr>
        <w:t xml:space="preserve">16. Procurement Strategy</w:t>
      </w:r>
      <w:r>
        <w:rPr>
          <w:rFonts w:ascii="Georgia" w:cs="Georgia" w:eastAsia="Georgia" w:hAnsi="Georgia"/>
          <w:color w:val="595959"/>
          <w:sz w:val="20"/>
          <w:szCs w:val="20"/>
        </w:rPr>
        <w:t xml:space="preserve">	10</w:t>
      </w:r>
    </w:p>
    <w:p>
      <w:pPr>
        <w:tabs>
          <w:tab w:val="right" w:pos="9350" w:leader="dot"/>
        </w:tabs>
        <w:spacing w:after="40" w:before="0"/>
      </w:pPr>
      <w:r>
        <w:rPr>
          <w:rFonts w:ascii="Georgia" w:cs="Georgia" w:eastAsia="Georgia" w:hAnsi="Georgia"/>
          <w:b w:val="false"/>
          <w:bCs w:val="false"/>
          <w:color w:val="000000"/>
          <w:sz w:val="20"/>
          <w:szCs w:val="20"/>
        </w:rPr>
        <w:t xml:space="preserve">17. Equipment Plan (Summary)</w:t>
      </w:r>
      <w:r>
        <w:rPr>
          <w:rFonts w:ascii="Georgia" w:cs="Georgia" w:eastAsia="Georgia" w:hAnsi="Georgia"/>
          <w:color w:val="595959"/>
          <w:sz w:val="20"/>
          <w:szCs w:val="20"/>
        </w:rPr>
        <w:t xml:space="preserve">	10</w:t>
      </w:r>
    </w:p>
    <w:p>
      <w:pPr>
        <w:tabs>
          <w:tab w:val="right" w:pos="9350" w:leader="dot"/>
        </w:tabs>
        <w:spacing w:after="40" w:before="0"/>
      </w:pPr>
      <w:r>
        <w:rPr>
          <w:rFonts w:ascii="Georgia" w:cs="Georgia" w:eastAsia="Georgia" w:hAnsi="Georgia"/>
          <w:b w:val="false"/>
          <w:bCs w:val="false"/>
          <w:color w:val="000000"/>
          <w:sz w:val="20"/>
          <w:szCs w:val="20"/>
        </w:rPr>
        <w:t xml:space="preserve">18. Human Resource Plan</w:t>
      </w:r>
      <w:r>
        <w:rPr>
          <w:rFonts w:ascii="Georgia" w:cs="Georgia" w:eastAsia="Georgia" w:hAnsi="Georgia"/>
          <w:color w:val="595959"/>
          <w:sz w:val="20"/>
          <w:szCs w:val="20"/>
        </w:rPr>
        <w:t xml:space="preserve">	10</w:t>
      </w:r>
    </w:p>
    <w:p>
      <w:pPr>
        <w:tabs>
          <w:tab w:val="right" w:pos="9350" w:leader="dot"/>
        </w:tabs>
        <w:spacing w:after="40" w:before="0"/>
      </w:pPr>
      <w:r>
        <w:rPr>
          <w:rFonts w:ascii="Georgia" w:cs="Georgia" w:eastAsia="Georgia" w:hAnsi="Georgia"/>
          <w:b w:val="false"/>
          <w:bCs w:val="false"/>
          <w:color w:val="000000"/>
          <w:sz w:val="20"/>
          <w:szCs w:val="20"/>
        </w:rPr>
        <w:t xml:space="preserve">19. Marketing Strategy</w:t>
      </w:r>
      <w:r>
        <w:rPr>
          <w:rFonts w:ascii="Georgia" w:cs="Georgia" w:eastAsia="Georgia" w:hAnsi="Georgia"/>
          <w:color w:val="595959"/>
          <w:sz w:val="20"/>
          <w:szCs w:val="20"/>
        </w:rPr>
        <w:t xml:space="preserve">	11</w:t>
      </w:r>
    </w:p>
    <w:p>
      <w:pPr>
        <w:tabs>
          <w:tab w:val="right" w:pos="9350" w:leader="dot"/>
        </w:tabs>
        <w:spacing w:after="40" w:before="0"/>
      </w:pPr>
      <w:r>
        <w:rPr>
          <w:rFonts w:ascii="Georgia" w:cs="Georgia" w:eastAsia="Georgia" w:hAnsi="Georgia"/>
          <w:b w:val="false"/>
          <w:bCs w:val="false"/>
          <w:color w:val="000000"/>
          <w:sz w:val="20"/>
          <w:szCs w:val="20"/>
        </w:rPr>
        <w:t xml:space="preserve">20. Partnership Framework</w:t>
      </w:r>
      <w:r>
        <w:rPr>
          <w:rFonts w:ascii="Georgia" w:cs="Georgia" w:eastAsia="Georgia" w:hAnsi="Georgia"/>
          <w:color w:val="595959"/>
          <w:sz w:val="20"/>
          <w:szCs w:val="20"/>
        </w:rPr>
        <w:t xml:space="preserve">	11</w:t>
      </w:r>
    </w:p>
    <w:p>
      <w:pPr>
        <w:tabs>
          <w:tab w:val="right" w:pos="9350" w:leader="dot"/>
        </w:tabs>
        <w:spacing w:after="40" w:before="120"/>
      </w:pPr>
      <w:r>
        <w:rPr>
          <w:rFonts w:ascii="Georgia" w:cs="Georgia" w:eastAsia="Georgia" w:hAnsi="Georgia"/>
          <w:b/>
          <w:bCs/>
          <w:color w:val="1F3B57"/>
          <w:sz w:val="20"/>
          <w:szCs w:val="20"/>
        </w:rPr>
        <w:t xml:space="preserve">PART E — FINANCE, GOVERNANCE AND EXECUTION</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21. Financial Plan</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22. Funding Structure</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23. Governance</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24. Legal and Regulatory Pathway</w:t>
      </w:r>
      <w:r>
        <w:rPr>
          <w:rFonts w:ascii="Georgia" w:cs="Georgia" w:eastAsia="Georgia" w:hAnsi="Georgia"/>
          <w:color w:val="595959"/>
          <w:sz w:val="20"/>
          <w:szCs w:val="20"/>
        </w:rPr>
        <w:t xml:space="preserve">	13</w:t>
      </w:r>
    </w:p>
    <w:p>
      <w:pPr>
        <w:tabs>
          <w:tab w:val="right" w:pos="9350" w:leader="dot"/>
        </w:tabs>
        <w:spacing w:after="40" w:before="0"/>
      </w:pPr>
      <w:r>
        <w:rPr>
          <w:rFonts w:ascii="Georgia" w:cs="Georgia" w:eastAsia="Georgia" w:hAnsi="Georgia"/>
          <w:b w:val="false"/>
          <w:bCs w:val="false"/>
          <w:color w:val="000000"/>
          <w:sz w:val="20"/>
          <w:szCs w:val="20"/>
        </w:rPr>
        <w:t xml:space="preserve">25. Environmental and Social Impact and Sustainability</w:t>
      </w:r>
      <w:r>
        <w:rPr>
          <w:rFonts w:ascii="Georgia" w:cs="Georgia" w:eastAsia="Georgia" w:hAnsi="Georgia"/>
          <w:color w:val="595959"/>
          <w:sz w:val="20"/>
          <w:szCs w:val="20"/>
        </w:rPr>
        <w:t xml:space="preserve">	13</w:t>
      </w:r>
    </w:p>
    <w:p>
      <w:pPr>
        <w:tabs>
          <w:tab w:val="right" w:pos="9350" w:leader="dot"/>
        </w:tabs>
        <w:spacing w:after="40" w:before="0"/>
      </w:pPr>
      <w:r>
        <w:rPr>
          <w:rFonts w:ascii="Georgia" w:cs="Georgia" w:eastAsia="Georgia" w:hAnsi="Georgia"/>
          <w:b w:val="false"/>
          <w:bCs w:val="false"/>
          <w:color w:val="000000"/>
          <w:sz w:val="20"/>
          <w:szCs w:val="20"/>
        </w:rPr>
        <w:t xml:space="preserve">26. Risk Management</w:t>
      </w:r>
      <w:r>
        <w:rPr>
          <w:rFonts w:ascii="Georgia" w:cs="Georgia" w:eastAsia="Georgia" w:hAnsi="Georgia"/>
          <w:color w:val="595959"/>
          <w:sz w:val="20"/>
          <w:szCs w:val="20"/>
        </w:rPr>
        <w:t xml:space="preserve">	13</w:t>
      </w:r>
    </w:p>
    <w:p>
      <w:pPr>
        <w:tabs>
          <w:tab w:val="right" w:pos="9350" w:leader="dot"/>
        </w:tabs>
        <w:spacing w:after="40" w:before="0"/>
      </w:pPr>
      <w:r>
        <w:rPr>
          <w:rFonts w:ascii="Georgia" w:cs="Georgia" w:eastAsia="Georgia" w:hAnsi="Georgia"/>
          <w:b w:val="false"/>
          <w:bCs w:val="false"/>
          <w:color w:val="000000"/>
          <w:sz w:val="20"/>
          <w:szCs w:val="20"/>
        </w:rPr>
        <w:t xml:space="preserve">27. Implementation Roadmap and KPIs</w:t>
      </w:r>
      <w:r>
        <w:rPr>
          <w:rFonts w:ascii="Georgia" w:cs="Georgia" w:eastAsia="Georgia" w:hAnsi="Georgia"/>
          <w:color w:val="595959"/>
          <w:sz w:val="20"/>
          <w:szCs w:val="20"/>
        </w:rPr>
        <w:t xml:space="preserve">	13</w:t>
      </w:r>
    </w:p>
    <w:p>
      <w:pPr>
        <w:tabs>
          <w:tab w:val="right" w:pos="9350" w:leader="dot"/>
        </w:tabs>
        <w:spacing w:after="40" w:before="120"/>
      </w:pPr>
      <w:r>
        <w:rPr>
          <w:rFonts w:ascii="Georgia" w:cs="Georgia" w:eastAsia="Georgia" w:hAnsi="Georgia"/>
          <w:b/>
          <w:bCs/>
          <w:color w:val="1F3B57"/>
          <w:sz w:val="20"/>
          <w:szCs w:val="20"/>
        </w:rPr>
        <w:t xml:space="preserve">PART F — THE NATIONAL HORIZON</w:t>
      </w:r>
      <w:r>
        <w:rPr>
          <w:rFonts w:ascii="Georgia" w:cs="Georgia" w:eastAsia="Georgia" w:hAnsi="Georgia"/>
          <w:color w:val="595959"/>
          <w:sz w:val="20"/>
          <w:szCs w:val="20"/>
        </w:rPr>
        <w:t xml:space="preserve">	14</w:t>
      </w:r>
    </w:p>
    <w:p>
      <w:pPr>
        <w:tabs>
          <w:tab w:val="right" w:pos="9350" w:leader="dot"/>
        </w:tabs>
        <w:spacing w:after="40" w:before="0"/>
      </w:pPr>
      <w:r>
        <w:rPr>
          <w:rFonts w:ascii="Georgia" w:cs="Georgia" w:eastAsia="Georgia" w:hAnsi="Georgia"/>
          <w:b w:val="false"/>
          <w:bCs w:val="false"/>
          <w:color w:val="000000"/>
          <w:sz w:val="20"/>
          <w:szCs w:val="20"/>
        </w:rPr>
        <w:t xml:space="preserve">28. One Nigeria, One Health System: The Six-Region Network</w:t>
      </w:r>
      <w:r>
        <w:rPr>
          <w:rFonts w:ascii="Georgia" w:cs="Georgia" w:eastAsia="Georgia" w:hAnsi="Georgia"/>
          <w:color w:val="595959"/>
          <w:sz w:val="20"/>
          <w:szCs w:val="20"/>
        </w:rPr>
        <w:t xml:space="preserve">	14</w:t>
      </w:r>
    </w:p>
    <w:p>
      <w:pPr>
        <w:tabs>
          <w:tab w:val="right" w:pos="9350" w:leader="dot"/>
        </w:tabs>
        <w:spacing w:after="40" w:before="0"/>
      </w:pPr>
      <w:r>
        <w:rPr>
          <w:rFonts w:ascii="Georgia" w:cs="Georgia" w:eastAsia="Georgia" w:hAnsi="Georgia"/>
          <w:b w:val="false"/>
          <w:bCs w:val="false"/>
          <w:color w:val="000000"/>
          <w:sz w:val="20"/>
          <w:szCs w:val="20"/>
        </w:rPr>
        <w:t xml:space="preserve">29. The National Health Trust Fund</w:t>
      </w:r>
      <w:r>
        <w:rPr>
          <w:rFonts w:ascii="Georgia" w:cs="Georgia" w:eastAsia="Georgia" w:hAnsi="Georgia"/>
          <w:color w:val="595959"/>
          <w:sz w:val="20"/>
          <w:szCs w:val="20"/>
        </w:rPr>
        <w:t xml:space="preserve">	15</w:t>
      </w:r>
    </w:p>
    <w:p>
      <w:pPr>
        <w:tabs>
          <w:tab w:val="right" w:pos="9350" w:leader="dot"/>
        </w:tabs>
        <w:spacing w:after="40" w:before="0"/>
      </w:pPr>
      <w:r>
        <w:rPr>
          <w:rFonts w:ascii="Georgia" w:cs="Georgia" w:eastAsia="Georgia" w:hAnsi="Georgia"/>
          <w:b w:val="false"/>
          <w:bCs w:val="false"/>
          <w:color w:val="000000"/>
          <w:sz w:val="20"/>
          <w:szCs w:val="20"/>
        </w:rPr>
        <w:t xml:space="preserve">30. Integration, Not Duplication</w:t>
      </w:r>
      <w:r>
        <w:rPr>
          <w:rFonts w:ascii="Georgia" w:cs="Georgia" w:eastAsia="Georgia" w:hAnsi="Georgia"/>
          <w:color w:val="595959"/>
          <w:sz w:val="20"/>
          <w:szCs w:val="20"/>
        </w:rPr>
        <w:t xml:space="preserve">	16</w:t>
      </w:r>
    </w:p>
    <w:p>
      <w:pPr>
        <w:tabs>
          <w:tab w:val="right" w:pos="9350" w:leader="dot"/>
        </w:tabs>
        <w:spacing w:after="40" w:before="0"/>
      </w:pPr>
      <w:r>
        <w:rPr>
          <w:rFonts w:ascii="Georgia" w:cs="Georgia" w:eastAsia="Georgia" w:hAnsi="Georgia"/>
          <w:b w:val="false"/>
          <w:bCs w:val="false"/>
          <w:color w:val="000000"/>
          <w:sz w:val="20"/>
          <w:szCs w:val="20"/>
        </w:rPr>
        <w:t xml:space="preserve">31. The National Health Ecosystem</w:t>
      </w:r>
      <w:r>
        <w:rPr>
          <w:rFonts w:ascii="Georgia" w:cs="Georgia" w:eastAsia="Georgia" w:hAnsi="Georgia"/>
          <w:color w:val="595959"/>
          <w:sz w:val="20"/>
          <w:szCs w:val="20"/>
        </w:rPr>
        <w:t xml:space="preserve">	17</w:t>
      </w:r>
    </w:p>
    <w:p>
      <w:pPr>
        <w:tabs>
          <w:tab w:val="right" w:pos="9350" w:leader="dot"/>
        </w:tabs>
        <w:spacing w:after="40" w:before="0"/>
      </w:pPr>
      <w:r>
        <w:rPr>
          <w:rFonts w:ascii="Georgia" w:cs="Georgia" w:eastAsia="Georgia" w:hAnsi="Georgia"/>
          <w:b w:val="false"/>
          <w:bCs w:val="false"/>
          <w:color w:val="000000"/>
          <w:sz w:val="20"/>
          <w:szCs w:val="20"/>
        </w:rPr>
        <w:t xml:space="preserve">32. Nigeria Health Vision 2055: The 30-Year Roadmap</w:t>
      </w:r>
      <w:r>
        <w:rPr>
          <w:rFonts w:ascii="Georgia" w:cs="Georgia" w:eastAsia="Georgia" w:hAnsi="Georgia"/>
          <w:color w:val="595959"/>
          <w:sz w:val="20"/>
          <w:szCs w:val="20"/>
        </w:rPr>
        <w:t xml:space="preserve">	17</w:t>
      </w:r>
    </w:p>
    <w:p>
      <w:pPr>
        <w:tabs>
          <w:tab w:val="right" w:pos="9350" w:leader="dot"/>
        </w:tabs>
        <w:spacing w:after="40" w:before="0"/>
      </w:pPr>
      <w:r>
        <w:rPr>
          <w:rFonts w:ascii="Georgia" w:cs="Georgia" w:eastAsia="Georgia" w:hAnsi="Georgia"/>
          <w:b w:val="false"/>
          <w:bCs w:val="false"/>
          <w:color w:val="000000"/>
          <w:sz w:val="20"/>
          <w:szCs w:val="20"/>
        </w:rPr>
        <w:t xml:space="preserve">33. Conclusion</w:t>
      </w:r>
      <w:r>
        <w:rPr>
          <w:rFonts w:ascii="Georgia" w:cs="Georgia" w:eastAsia="Georgia" w:hAnsi="Georgia"/>
          <w:color w:val="595959"/>
          <w:sz w:val="20"/>
          <w:szCs w:val="20"/>
        </w:rPr>
        <w:t xml:space="preserve">	18</w:t>
      </w:r>
    </w:p>
    <w:p>
      <w:r>
        <w:br w:type="page"/>
      </w:r>
    </w:p>
    <w:p>
      <w:pPr>
        <w:pStyle w:val="Heading1"/>
        <w:spacing w:after="200" w:before="360"/>
      </w:pPr>
      <w:r>
        <w:rPr>
          <w:rFonts w:ascii="Georgia" w:cs="Georgia" w:eastAsia="Georgia" w:hAnsi="Georgia"/>
          <w:b/>
          <w:bCs/>
          <w:color w:val="1F3B57"/>
          <w:sz w:val="30"/>
          <w:szCs w:val="30"/>
        </w:rPr>
        <w:t xml:space="preserve">PART A — THE OPPORTUNITY</w:t>
      </w:r>
    </w:p>
    <w:p>
      <w:pPr>
        <w:pStyle w:val="Heading1"/>
        <w:spacing w:after="200" w:before="360"/>
      </w:pPr>
      <w:r>
        <w:rPr>
          <w:rFonts w:ascii="Georgia" w:cs="Georgia" w:eastAsia="Georgia" w:hAnsi="Georgia"/>
          <w:b/>
          <w:bCs/>
          <w:color w:val="1F3B57"/>
          <w:sz w:val="30"/>
          <w:szCs w:val="30"/>
        </w:rPr>
        <w:t xml:space="preserve">1. Executive Overview</w:t>
      </w:r>
    </w:p>
    <w:p>
      <w:pPr>
        <w:spacing w:after="160" w:line="276"/>
        <w:jc w:val="both"/>
      </w:pPr>
      <w:r>
        <w:rPr>
          <w:rFonts w:ascii="Georgia" w:cs="Georgia" w:eastAsia="Georgia" w:hAnsi="Georgia"/>
          <w:sz w:val="22"/>
          <w:szCs w:val="22"/>
        </w:rPr>
        <w:t xml:space="preserve">This Full Business Proposal presents the Nigeria Medicare City (NMC): a 600–1,000 hectare integrated healthcare, research, education and wellness city in Abuja, Federal Capital Territory, Nigeria, anchored by an 800–1,000 bed tertiary teaching hospital and more than fifteen specialty institutes, with a phased capital programme of US$1.5–2.5 billion. It is submitted to the State of the African Diaspora (SOAD) as anchor funding partner within a Public–Private–Diaspora Partnership (PPDP) alongside the Office of the Wife of the President of the Federal Republic of Nigeria — with land and enabling infrastructure through the Federal Capital Territory Administration — and a private consortium assembled under the project development leadership. The proposal is accompanied by an Executive Summary, a 30-year Financial Feasibility Model, an Investment Prospectus and a proposed Partnership Term Sheet, and it commits to a full documentation suite — technical feasibility, medical master plan, architectural and engineering concepts, ESIA and detailed plans — as conditions of financial close. NMC is also designed as the First City of the proposed Nigeria Health Commonwealth (NHC) — a six-region national network carried to the public as The Six Cities, set out in Part F — so the investment sought here proves a template intended for replication across Nigeria and, in time, the continent.</w:t>
      </w:r>
    </w:p>
    <w:p>
      <w:pPr>
        <w:pStyle w:val="Heading1"/>
        <w:spacing w:after="200" w:before="360"/>
      </w:pPr>
      <w:r>
        <w:rPr>
          <w:rFonts w:ascii="Georgia" w:cs="Georgia" w:eastAsia="Georgia" w:hAnsi="Georgia"/>
          <w:b/>
          <w:bCs/>
          <w:color w:val="1F3B57"/>
          <w:sz w:val="30"/>
          <w:szCs w:val="30"/>
        </w:rPr>
        <w:t xml:space="preserve">2. Project Development Leadership</w:t>
      </w:r>
    </w:p>
    <w:p>
      <w:pPr>
        <w:spacing w:after="160" w:line="276"/>
        <w:jc w:val="both"/>
      </w:pPr>
      <w:r>
        <w:rPr>
          <w:rFonts w:ascii="Georgia" w:cs="Georgia" w:eastAsia="Georgia" w:hAnsi="Georgia"/>
          <w:sz w:val="22"/>
          <w:szCs w:val="22"/>
        </w:rPr>
        <w:t xml:space="preserve">This proposal is prepared and led by Dr. Korede Olumide Oluwatuyi, MBBS, FWACP (Paediatrics), FISN/IPNA (Calgary), PhD (Public Health, in view) — Consultant Paediatric Nephrologist | Senior Lecturer | Health Systems Strategist | Clinical Research Leader | Nigeria Medicare City Development Consultant. Dr. Oluwatuyi combines West African College of Physicians fellowship training in paediatrics, international sub-specialty training in paediatric nephrology through the International Society of Nephrology / International Pediatric Nephrology Association programme in Calgary, Canada, an active academic appointment as Senior Lecturer, doctoral research in public health, and clinical research leadership across multi-centre studies. His health-systems practice spans tertiary service design, workforce development and clinical governance in Nigeria and internationally — the precise disciplines from which NMC's medical master plan, academic pipeline and quality architecture are drawn.</w:t>
      </w:r>
    </w:p>
    <w:p>
      <w:pPr>
        <w:pStyle w:val="Heading2"/>
        <w:spacing w:after="140" w:before="260"/>
      </w:pPr>
      <w:r>
        <w:rPr>
          <w:rFonts w:ascii="Georgia" w:cs="Georgia" w:eastAsia="Georgia" w:hAnsi="Georgia"/>
          <w:b/>
          <w:bCs/>
          <w:color w:val="8A6D1F"/>
          <w:sz w:val="25"/>
          <w:szCs w:val="25"/>
        </w:rPr>
        <w:t xml:space="preserve">2.1 Leadership</w:t>
      </w:r>
    </w:p>
    <w:p>
      <w:pPr>
        <w:pStyle w:val="ListParagraph"/>
        <w:numPr>
          <w:ilvl w:val="0"/>
          <w:numId w:val="2"/>
        </w:numPr>
        <w:spacing w:after="100" w:line="264"/>
        <w:jc w:val="both"/>
      </w:pPr>
      <w:r>
        <w:rPr>
          <w:rFonts w:ascii="Georgia" w:cs="Georgia" w:eastAsia="Georgia" w:hAnsi="Georgia"/>
          <w:b/>
          <w:bCs/>
          <w:sz w:val="22"/>
          <w:szCs w:val="22"/>
        </w:rPr>
        <w:t xml:space="preserve">Dr. Korede Olumide Oluwatuyi — </w:t>
      </w:r>
      <w:r>
        <w:rPr>
          <w:rFonts w:ascii="Georgia" w:cs="Georgia" w:eastAsia="Georgia" w:hAnsi="Georgia"/>
          <w:sz w:val="22"/>
          <w:szCs w:val="22"/>
        </w:rPr>
        <w:t xml:space="preserve">Development Consultant and lead author of this proposal; clinical, academic and health-systems leadership as profiled above; convener of the founding consortium.</w:t>
      </w:r>
    </w:p>
    <w:p>
      <w:pPr>
        <w:spacing w:after="160" w:line="276"/>
        <w:jc w:val="both"/>
      </w:pPr>
      <w:r>
        <w:rPr>
          <w:rFonts w:ascii="Georgia" w:cs="Georgia" w:eastAsia="Georgia" w:hAnsi="Georgia"/>
          <w:sz w:val="22"/>
          <w:szCs w:val="22"/>
        </w:rPr>
        <w:t xml:space="preserve">The founding leadership will be expanded at financial close with an internationally recruited Group Chief Executive for the SPV, a Chief Medical Officer, a hospital commissioning director, a chief financial officer with project-finance experience, a chief technology officer, and contracted international hospital-operations and academic partners — with Diaspora Medical Corps recruitment giving preference to clinicians of African descent in each executive search.</w:t>
      </w:r>
    </w:p>
    <w:p>
      <w:pPr>
        <w:pStyle w:val="Heading1"/>
        <w:spacing w:after="200" w:before="360"/>
      </w:pPr>
      <w:r>
        <w:rPr>
          <w:rFonts w:ascii="Georgia" w:cs="Georgia" w:eastAsia="Georgia" w:hAnsi="Georgia"/>
          <w:b/>
          <w:bCs/>
          <w:color w:val="1F3B57"/>
          <w:sz w:val="30"/>
          <w:szCs w:val="30"/>
        </w:rPr>
        <w:t xml:space="preserve">3. Vision, Mission and Values</w:t>
      </w:r>
    </w:p>
    <w:p>
      <w:pPr>
        <w:spacing w:after="160" w:line="276"/>
        <w:jc w:val="both"/>
      </w:pPr>
      <w:r>
        <w:rPr>
          <w:rFonts w:ascii="Georgia" w:cs="Georgia" w:eastAsia="Georgia" w:hAnsi="Georgia"/>
          <w:sz w:val="22"/>
          <w:szCs w:val="22"/>
        </w:rPr>
        <w:t xml:space="preserve">Vision: a city where Africa heals, learns, grows and builds — the continent's flagship health city, owned in meaningful part by its Diaspora. Mission: to unite Diaspora capital and expertise with African land and people to deliver internationally accredited care, train the health workforce at scale, advance Africa-relevant research, and endow care for the vulnerable. Values: excellence without excuse; compassion as policy; stewardship of land, energy and water; transparency before investors and community; and ownership — African problems solved by African hands, at home and abroad.</w:t>
      </w:r>
    </w:p>
    <w:p>
      <w:pPr>
        <w:pStyle w:val="Heading1"/>
        <w:spacing w:after="200" w:before="360"/>
      </w:pPr>
      <w:r>
        <w:rPr>
          <w:rFonts w:ascii="Georgia" w:cs="Georgia" w:eastAsia="Georgia" w:hAnsi="Georgia"/>
          <w:b/>
          <w:bCs/>
          <w:color w:val="1F3B57"/>
          <w:sz w:val="30"/>
          <w:szCs w:val="30"/>
        </w:rPr>
        <w:t xml:space="preserve">4. The SOAD Partnership</w:t>
      </w:r>
    </w:p>
    <w:p>
      <w:pPr>
        <w:spacing w:after="160" w:line="276"/>
        <w:jc w:val="both"/>
      </w:pPr>
      <w:r>
        <w:rPr>
          <w:rFonts w:ascii="Georgia" w:cs="Georgia" w:eastAsia="Georgia" w:hAnsi="Georgia"/>
          <w:sz w:val="22"/>
          <w:szCs w:val="22"/>
        </w:rPr>
        <w:t xml:space="preserve">SOAD's program pillars — sustainable eco-cities, health, education, decentralized cooperation and twinning, Diaspora investment, climate justice and pan-African institutional partnership — are each delivered physically within NMC, as mapped in the accompanying Executive Summary. The partnership proposed here assigns SOAD four concrete roles: (i) anchor funder, making the cornerstone commitment that signals Diaspora ownership; (ii) mobilizer, endorsing and marketing the Diaspora Bond Programme and Endowment giving channel through its ministers, ambassadors and partner organisations; (iii) convener, co-approaching development finance institutions and continental bodies with the sponsors; and (iv) governor, holding board and trustee seats that protect the Diaspora's investment and the project's social mission. The proposed Partnership Term Sheet accompanying this proposal sets out these roles for negotiation.</w:t>
      </w:r>
    </w:p>
    <w:p>
      <w:pPr>
        <w:pStyle w:val="Heading1"/>
        <w:spacing w:after="200" w:before="360"/>
      </w:pPr>
      <w:r>
        <w:rPr>
          <w:rFonts w:ascii="Georgia" w:cs="Georgia" w:eastAsia="Georgia" w:hAnsi="Georgia"/>
          <w:b/>
          <w:bCs/>
          <w:color w:val="1F3B57"/>
          <w:sz w:val="30"/>
          <w:szCs w:val="30"/>
        </w:rPr>
        <w:t xml:space="preserve">PART B — THE MARKET</w:t>
      </w:r>
    </w:p>
    <w:p>
      <w:pPr>
        <w:pStyle w:val="Heading1"/>
        <w:spacing w:after="200" w:before="360"/>
      </w:pPr>
      <w:r>
        <w:rPr>
          <w:rFonts w:ascii="Georgia" w:cs="Georgia" w:eastAsia="Georgia" w:hAnsi="Georgia"/>
          <w:b/>
          <w:bCs/>
          <w:color w:val="1F3B57"/>
          <w:sz w:val="30"/>
          <w:szCs w:val="30"/>
        </w:rPr>
        <w:t xml:space="preserve">5. Market Analysis</w:t>
      </w:r>
    </w:p>
    <w:p>
      <w:pPr>
        <w:pStyle w:val="Heading2"/>
        <w:spacing w:after="140" w:before="260"/>
      </w:pPr>
      <w:r>
        <w:rPr>
          <w:rFonts w:ascii="Georgia" w:cs="Georgia" w:eastAsia="Georgia" w:hAnsi="Georgia"/>
          <w:b/>
          <w:bCs/>
          <w:color w:val="8A6D1F"/>
          <w:sz w:val="25"/>
          <w:szCs w:val="25"/>
        </w:rPr>
        <w:t xml:space="preserve">5.1 Demand Fundamentals</w:t>
      </w:r>
    </w:p>
    <w:p>
      <w:pPr>
        <w:spacing w:after="160" w:line="276"/>
        <w:jc w:val="both"/>
      </w:pPr>
      <w:r>
        <w:rPr>
          <w:rFonts w:ascii="Georgia" w:cs="Georgia" w:eastAsia="Georgia" w:hAnsi="Georgia"/>
          <w:sz w:val="22"/>
          <w:szCs w:val="22"/>
        </w:rPr>
        <w:t xml:space="preserve">Nigeria's population exceeds 220 million, growing toward 400 million by mid-century, with a rapidly expanding middle class, deepening health-insurance penetration under the National Health Insurance Authority regime, and an epidemiological transition driving demand for exactly the tertiary services NMC supplies: oncology, cardiology, nephrology and dialysis, neurosurgery, orthopaedics, transplant, maternal-fetal medicine and mental health. Supply is thin: bed density, specialist density and advanced-equipment density are among the lowest per capita of the world's large economies, and existing tertiary capacity is concentrated in Lagos and Abuja. From the Federal Capital Territory every state capital lies within roughly a two-hour flight, and the capital region itself — the FCT with neighbouring Niger, Kaduna, Nasarawa and Kogi — holds tens of millions of people without a single internationally accredited quaternary destination.</w:t>
      </w:r>
    </w:p>
    <w:p>
      <w:pPr>
        <w:pStyle w:val="Heading2"/>
        <w:spacing w:after="140" w:before="260"/>
      </w:pPr>
      <w:r>
        <w:rPr>
          <w:rFonts w:ascii="Georgia" w:cs="Georgia" w:eastAsia="Georgia" w:hAnsi="Georgia"/>
          <w:b/>
          <w:bCs/>
          <w:color w:val="8A6D1F"/>
          <w:sz w:val="25"/>
          <w:szCs w:val="25"/>
        </w:rPr>
        <w:t xml:space="preserve">5.2 Addressable Segments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300"/>
        <w:gridCol w:w="3300"/>
        <w:gridCol w:w="2900"/>
      </w:tblGrid>
      <w:tr>
        <w:tc>
          <w:tcPr>
            <w:tcW w:type="dxa" w:w="33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Segment</w:t>
            </w:r>
          </w:p>
        </w:tc>
        <w:tc>
          <w:tcPr>
            <w:tcW w:type="dxa" w:w="33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c>
          <w:tcPr>
            <w:tcW w:type="dxa" w:w="29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NMC Capture Strategy</w:t>
            </w:r>
          </w:p>
        </w:tc>
      </w:tr>
      <w:tr>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Outbound medical tourists</w:t>
            </w:r>
          </w:p>
        </w:tc>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Nigerians spending an estimated US$1bn+ annually abroad</w:t>
            </w:r>
          </w:p>
        </w:tc>
        <w:tc>
          <w:tcPr>
            <w:tcW w:type="dxa" w:w="29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Equivalent-quality service lines at 30–60% of Gulf/UK price points; concierge repatriation packages</w:t>
            </w:r>
          </w:p>
        </w:tc>
      </w:tr>
      <w:tr>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Insured &amp; corporate patients</w:t>
            </w:r>
          </w:p>
        </w:tc>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HMO enrollees, oil &amp; gas, banking, telecoms workforces</w:t>
            </w:r>
          </w:p>
        </w:tc>
        <w:tc>
          <w:tcPr>
            <w:tcW w:type="dxa" w:w="29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Pre-signed corporate and HMO network contracts; executive health centre</w:t>
            </w:r>
          </w:p>
        </w:tc>
      </w:tr>
      <w:tr>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Government referrals</w:t>
            </w:r>
          </w:p>
        </w:tc>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Federal/state referral and civil-service schemes</w:t>
            </w:r>
          </w:p>
        </w:tc>
        <w:tc>
          <w:tcPr>
            <w:tcW w:type="dxa" w:w="29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PPDP referral covenants; tertiary overflow agreements</w:t>
            </w:r>
          </w:p>
        </w:tc>
      </w:tr>
      <w:tr>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ECOWAS regional patients</w:t>
            </w:r>
          </w:p>
        </w:tc>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400m+ population with minimal quaternary capacity</w:t>
            </w:r>
          </w:p>
        </w:tc>
        <w:tc>
          <w:tcPr>
            <w:tcW w:type="dxa" w:w="29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Regional referral network, air ambulance, francophone liaison desk</w:t>
            </w:r>
          </w:p>
        </w:tc>
      </w:tr>
      <w:tr>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patients &amp; students</w:t>
            </w:r>
          </w:p>
        </w:tc>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Global African Diaspora and recent emigrants</w:t>
            </w:r>
          </w:p>
        </w:tc>
        <w:tc>
          <w:tcPr>
            <w:tcW w:type="dxa" w:w="29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Medical-and-heritage packages; US/EU-competitive self-pay pricing; reserved training places</w:t>
            </w:r>
          </w:p>
        </w:tc>
      </w:tr>
      <w:tr>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Out-of-pocket domestic</w:t>
            </w:r>
          </w:p>
        </w:tc>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Growing private-pay middle class</w:t>
            </w:r>
          </w:p>
        </w:tc>
        <w:tc>
          <w:tcPr>
            <w:tcW w:type="dxa" w:w="29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Tiered ward pricing; MediLoan-style health financing partnerships</w:t>
            </w:r>
          </w:p>
        </w:tc>
      </w:tr>
    </w:tbl>
    <w:p>
      <w:pPr>
        <w:spacing w:after="120"/>
      </w:pPr>
    </w:p>
    <w:p>
      <w:pPr>
        <w:pStyle w:val="Heading2"/>
        <w:spacing w:after="140" w:before="260"/>
      </w:pPr>
      <w:r>
        <w:rPr>
          <w:rFonts w:ascii="Georgia" w:cs="Georgia" w:eastAsia="Georgia" w:hAnsi="Georgia"/>
          <w:b/>
          <w:bCs/>
          <w:color w:val="8A6D1F"/>
          <w:sz w:val="25"/>
          <w:szCs w:val="25"/>
        </w:rPr>
        <w:t xml:space="preserve">5.3 Competitive Landscape</w:t>
      </w:r>
    </w:p>
    <w:p>
      <w:pPr>
        <w:spacing w:after="160" w:line="276"/>
        <w:jc w:val="both"/>
      </w:pPr>
      <w:r>
        <w:rPr>
          <w:rFonts w:ascii="Georgia" w:cs="Georgia" w:eastAsia="Georgia" w:hAnsi="Georgia"/>
          <w:sz w:val="22"/>
          <w:szCs w:val="22"/>
        </w:rPr>
        <w:t xml:space="preserve">Domestic competition consists of teaching hospitals constrained by public funding, and quality private hospitals in Lagos and Abuja that operate at a fraction of NMC's planned scale and without its integrated campus model. Regional competitors (Ghana, Senegal) are similarly sub-scale. International competitors — India, Türkiye, Egypt, UAE — win today on quality and price but lose on travel cost, visas, distance from family and cultural familiarity. NMC's positioning is therefore: international accreditation and outcomes, at regional prices, at home. No project in West Africa combines NMC's scale, integration and Diaspora ownership; the first mover will define the category.</w:t>
      </w:r>
    </w:p>
    <w:p>
      <w:pPr>
        <w:pStyle w:val="Heading1"/>
        <w:spacing w:after="200" w:before="360"/>
      </w:pPr>
      <w:r>
        <w:rPr>
          <w:rFonts w:ascii="Georgia" w:cs="Georgia" w:eastAsia="Georgia" w:hAnsi="Georgia"/>
          <w:b/>
          <w:bCs/>
          <w:color w:val="1F3B57"/>
          <w:sz w:val="30"/>
          <w:szCs w:val="30"/>
        </w:rPr>
        <w:t xml:space="preserve">6. Competitive Positioning and Differentiation</w:t>
      </w:r>
    </w:p>
    <w:p>
      <w:pPr>
        <w:pStyle w:val="ListParagraph"/>
        <w:numPr>
          <w:ilvl w:val="0"/>
          <w:numId w:val="2"/>
        </w:numPr>
        <w:spacing w:after="100" w:line="264"/>
        <w:jc w:val="both"/>
      </w:pPr>
      <w:r>
        <w:rPr>
          <w:rFonts w:ascii="Georgia" w:cs="Georgia" w:eastAsia="Georgia" w:hAnsi="Georgia"/>
          <w:sz w:val="22"/>
          <w:szCs w:val="22"/>
        </w:rPr>
        <w:t xml:space="preserve">The only West African health destination designed from inception for JCI accreditation across an entire campus.</w:t>
      </w:r>
    </w:p>
    <w:p>
      <w:pPr>
        <w:pStyle w:val="ListParagraph"/>
        <w:numPr>
          <w:ilvl w:val="0"/>
          <w:numId w:val="2"/>
        </w:numPr>
        <w:spacing w:after="100" w:line="264"/>
        <w:jc w:val="both"/>
      </w:pPr>
      <w:r>
        <w:rPr>
          <w:rFonts w:ascii="Georgia" w:cs="Georgia" w:eastAsia="Georgia" w:hAnsi="Georgia"/>
          <w:sz w:val="22"/>
          <w:szCs w:val="22"/>
        </w:rPr>
        <w:t xml:space="preserve">The only health city whose commercial success is covenanted, from inception, to a care-subsidizing Community Health Endowment Fund — with the Office of the Wife of the President as its natural federal champion.</w:t>
      </w:r>
    </w:p>
    <w:p>
      <w:pPr>
        <w:pStyle w:val="ListParagraph"/>
        <w:numPr>
          <w:ilvl w:val="0"/>
          <w:numId w:val="2"/>
        </w:numPr>
        <w:spacing w:after="100" w:line="264"/>
        <w:jc w:val="both"/>
      </w:pPr>
      <w:r>
        <w:rPr>
          <w:rFonts w:ascii="Georgia" w:cs="Georgia" w:eastAsia="Georgia" w:hAnsi="Georgia"/>
          <w:sz w:val="22"/>
          <w:szCs w:val="22"/>
        </w:rPr>
        <w:t xml:space="preserve">The only project structured for Diaspora co-ownership through SOAD, with a Diaspora Medical Corps solving the specialist staffing constraint that defeats most African tertiary projects.</w:t>
      </w:r>
    </w:p>
    <w:p>
      <w:pPr>
        <w:pStyle w:val="ListParagraph"/>
        <w:numPr>
          <w:ilvl w:val="0"/>
          <w:numId w:val="2"/>
        </w:numPr>
        <w:spacing w:after="100" w:line="264"/>
        <w:jc w:val="both"/>
      </w:pPr>
      <w:r>
        <w:rPr>
          <w:rFonts w:ascii="Georgia" w:cs="Georgia" w:eastAsia="Georgia" w:hAnsi="Georgia"/>
          <w:sz w:val="22"/>
          <w:szCs w:val="22"/>
        </w:rPr>
        <w:t xml:space="preserve">A fully digital, AI-assisted operating model with a campus digital twin, drone logistics and telemedicine reach into primary care and Diaspora households.</w:t>
      </w:r>
    </w:p>
    <w:p>
      <w:pPr>
        <w:pStyle w:val="ListParagraph"/>
        <w:numPr>
          <w:ilvl w:val="0"/>
          <w:numId w:val="2"/>
        </w:numPr>
        <w:spacing w:after="100" w:line="264"/>
        <w:jc w:val="both"/>
      </w:pPr>
      <w:r>
        <w:rPr>
          <w:rFonts w:ascii="Georgia" w:cs="Georgia" w:eastAsia="Georgia" w:hAnsi="Georgia"/>
          <w:sz w:val="22"/>
          <w:szCs w:val="22"/>
        </w:rPr>
        <w:t xml:space="preserve">Energy and water sovereignty through the renewable park and recycling plants, removing the grid unreliability that cripples Nigerian hospital economics.</w:t>
      </w:r>
    </w:p>
    <w:p>
      <w:pPr>
        <w:pStyle w:val="Heading1"/>
        <w:spacing w:after="200" w:before="360"/>
      </w:pPr>
      <w:r>
        <w:rPr>
          <w:rFonts w:ascii="Georgia" w:cs="Georgia" w:eastAsia="Georgia" w:hAnsi="Georgia"/>
          <w:b/>
          <w:bCs/>
          <w:color w:val="1F3B57"/>
          <w:sz w:val="30"/>
          <w:szCs w:val="30"/>
        </w:rPr>
        <w:t xml:space="preserve">PART C — THE PROJECT</w:t>
      </w:r>
    </w:p>
    <w:p>
      <w:pPr>
        <w:pStyle w:val="Heading1"/>
        <w:spacing w:after="200" w:before="360"/>
      </w:pPr>
      <w:r>
        <w:rPr>
          <w:rFonts w:ascii="Georgia" w:cs="Georgia" w:eastAsia="Georgia" w:hAnsi="Georgia"/>
          <w:b/>
          <w:bCs/>
          <w:color w:val="1F3B57"/>
          <w:sz w:val="30"/>
          <w:szCs w:val="30"/>
        </w:rPr>
        <w:t xml:space="preserve">7. Site and Land Use Plan</w:t>
      </w:r>
    </w:p>
    <w:p>
      <w:pPr>
        <w:spacing w:after="160" w:line="276"/>
        <w:jc w:val="both"/>
      </w:pPr>
      <w:r>
        <w:rPr>
          <w:rFonts w:ascii="Georgia" w:cs="Georgia" w:eastAsia="Georgia" w:hAnsi="Georgia"/>
          <w:sz w:val="22"/>
          <w:szCs w:val="22"/>
        </w:rPr>
        <w:t xml:space="preserve">The indicative land use plan below allocates a mid-case 750-hectare site. Final allocation follows site selection, survey and the Architectural Master Plan.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3200"/>
      </w:tblGrid>
      <w:tr>
        <w:tc>
          <w:tcPr>
            <w:tcW w:type="dxa" w:w="4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District</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Hectares</w:t>
            </w:r>
          </w:p>
        </w:tc>
        <w:tc>
          <w:tcPr>
            <w:tcW w:type="dxa" w:w="3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Principal Uses</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District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 institutes, diagnostics, emergency &amp; helipad, CSSD, gas plant, ambulance HQ</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Academic District</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Medical/nursing/allied schools, simulation centre, conference &amp; innovation centre</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Research &amp; Innovation District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Research institute, genomics &amp; AI labs, biotech incubator, pharma unit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Hospitality &amp; Residential</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Hotels, guest houses, physicians' residences, staff housing, retail, banking</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Wellness &amp; Recreation</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Sports village, athletics track, wellness park, botanical gardens, playgrounds</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Utilities &amp; Smart Infrastructure</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90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Solar park &amp; storage, water/wastewater plants, medical waste, data centre, works dept</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Lakes, green belts, roads &amp; reserves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Flood management, ecology, internal transit, future expansion</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(mid-case)</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750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
            </w:r>
          </w:p>
        </w:tc>
      </w:tr>
    </w:tbl>
    <w:p>
      <w:pPr>
        <w:spacing w:after="120"/>
      </w:pPr>
    </w:p>
    <w:p>
      <w:pPr>
        <w:pStyle w:val="Heading1"/>
        <w:spacing w:after="200" w:before="360"/>
      </w:pPr>
      <w:r>
        <w:rPr>
          <w:rFonts w:ascii="Georgia" w:cs="Georgia" w:eastAsia="Georgia" w:hAnsi="Georgia"/>
          <w:b/>
          <w:bCs/>
          <w:color w:val="1F3B57"/>
          <w:sz w:val="30"/>
          <w:szCs w:val="30"/>
        </w:rPr>
        <w:t xml:space="preserve">8. Medical Master Plan and Clinical Service Lines</w:t>
      </w:r>
    </w:p>
    <w:p>
      <w:pPr>
        <w:spacing w:after="160" w:line="276"/>
        <w:jc w:val="both"/>
      </w:pPr>
      <w:r>
        <w:rPr>
          <w:rFonts w:ascii="Georgia" w:cs="Georgia" w:eastAsia="Georgia" w:hAnsi="Georgia"/>
          <w:sz w:val="22"/>
          <w:szCs w:val="22"/>
        </w:rPr>
        <w:t xml:space="preserve">The hospital is organized as a hub of shared platforms (imaging, laboratories, theatres, ICU, CSSD, pharmacy) serving specialty institutes. Each specialty institute is housed in its own dedicated three-storey (ground plus two) pavilion — a deliberately low-rise typology that keeps every ward within stair reach for safety and resilience, simplifies phased construction, permits natural light and courtyard ventilation throughout, and allows each institute to expand horizontally without disturbing its neighbours. The pavilions connect to the central diagnostic and surgical spine through covered link corridors, so patients move between any institute and imaging, theatres or intensive care without leaving the building envelope. Indicative bed allocation at full build-out:</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1800"/>
        <w:gridCol w:w="3400"/>
      </w:tblGrid>
      <w:tr>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Institute / Service</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Beds</w:t>
            </w:r>
          </w:p>
        </w:tc>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Key Capabilities</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Cancer Institute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Medical/radiation/surgical oncology, nuclear medicine, PET-CT, chemo day-care</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Heart Institute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Cath labs, cardiac surgery, electrophysiology, heart failure programme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Kidney Institute &amp; Transplant Centre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 dialysis chairs, renal transplant, hepatobiliary transplant roadmap</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Trauma &amp; Emergency Centre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Level-1 trauma, helipad, burns unit, ambulance &amp; retrieval network</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Neuroscience Institute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Neurosurgery, stroke centre, neuro-ICU, interventional neuroradiology</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Orthopaedic Institute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Joint replacement, spine, sports medicine, robotics-assisted surgery</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Mother &amp; Child / Women's / Children's</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High-risk obstetrics, NICU/PICU, fertility centre, paediatric surgery</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Infectious Disease Institute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Isolation wards, BSL-capable lab liaison, outbreak response role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Mental Health Centre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Inpatient psychiatry, addiction medicine, community outreach</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Medical/surgical, rehab, eye, dental &amp; other</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170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General tertiary, rehabilitation &amp; physiotherapy complex, eye &amp; dental hospitals</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
            </w:r>
          </w:p>
        </w:tc>
      </w:tr>
    </w:tbl>
    <w:p>
      <w:pPr>
        <w:spacing w:after="120"/>
      </w:pPr>
    </w:p>
    <w:p>
      <w:pPr>
        <w:spacing w:after="160" w:line="276"/>
        <w:jc w:val="both"/>
      </w:pPr>
      <w:r>
        <w:rPr>
          <w:rFonts w:ascii="Georgia" w:cs="Georgia" w:eastAsia="Georgia" w:hAnsi="Georgia"/>
          <w:sz w:val="22"/>
          <w:szCs w:val="22"/>
        </w:rPr>
        <w:t xml:space="preserve">Clinical governance is anchored in international accreditation (JCI pathway from commissioning), consultant-led service lines, morbidity and mortality review, incident reporting, antimicrobial stewardship, and a fully digital medication-to-bedside chain. The Telemedicine Command Centre extends specialist reach into partner primary health centres and Diaspora households, and the Diaspora Medical Corps staffs scarce sub-specialties through permanent, rotational and virtual service.</w:t>
      </w:r>
    </w:p>
    <w:p>
      <w:pPr>
        <w:pStyle w:val="Heading1"/>
        <w:spacing w:after="200" w:before="360"/>
      </w:pPr>
      <w:r>
        <w:rPr>
          <w:rFonts w:ascii="Georgia" w:cs="Georgia" w:eastAsia="Georgia" w:hAnsi="Georgia"/>
          <w:b/>
          <w:bCs/>
          <w:color w:val="1F3B57"/>
          <w:sz w:val="30"/>
          <w:szCs w:val="30"/>
        </w:rPr>
        <w:t xml:space="preserve">9. Academic and Research Plan</w:t>
      </w:r>
    </w:p>
    <w:p>
      <w:pPr>
        <w:spacing w:after="160" w:line="276"/>
        <w:jc w:val="both"/>
      </w:pPr>
      <w:r>
        <w:rPr>
          <w:rFonts w:ascii="Georgia" w:cs="Georgia" w:eastAsia="Georgia" w:hAnsi="Georgia"/>
          <w:sz w:val="22"/>
          <w:szCs w:val="22"/>
        </w:rPr>
        <w:t xml:space="preserve">The academic campus targets steady-state enrolment of 3,000–5,000 across the medical school (MBBS and postgraduate residencies), nursing college, allied health institute (radiography, laboratory science, physiotherapy, biomedical engineering, health informatics) and the simulation centre, with Diaspora scholarship quotas and faculty exchange under SOAD's twinning policy. The Research and Grants Institute pursues external funding across five priority programmes: sickle cell and haemoglobinopathies; hypertension and cardio-renal disease; oncology of African populations; maternal and child health; and AI for low-resource clinical systems. The biotechnology incubator and innovation accelerator commercialize outputs, targeting 20–30 resident startups by Year 10 with an equity participation model that returns value to the SPV and the Endowment.</w:t>
      </w:r>
    </w:p>
    <w:p>
      <w:pPr>
        <w:pStyle w:val="Heading1"/>
        <w:spacing w:after="200" w:before="360"/>
      </w:pPr>
      <w:r>
        <w:rPr>
          <w:rFonts w:ascii="Georgia" w:cs="Georgia" w:eastAsia="Georgia" w:hAnsi="Georgia"/>
          <w:b/>
          <w:bCs/>
          <w:color w:val="1F3B57"/>
          <w:sz w:val="30"/>
          <w:szCs w:val="30"/>
        </w:rPr>
        <w:t xml:space="preserve">10. Support Services, Nutrition and Campus Logistics</w:t>
      </w:r>
    </w:p>
    <w:p>
      <w:pPr>
        <w:spacing w:after="160" w:line="276"/>
        <w:jc w:val="both"/>
      </w:pPr>
      <w:r>
        <w:rPr>
          <w:rFonts w:ascii="Georgia" w:cs="Georgia" w:eastAsia="Georgia" w:hAnsi="Georgia"/>
          <w:sz w:val="22"/>
          <w:szCs w:val="22"/>
        </w:rPr>
        <w:t xml:space="preserve">A city of healing runs on quiet excellence behind the wards. Clinical nutrition and catering are delivered through a central production kitchen with dietitian-led therapeutic menus, cook-chill distribution to every ward, and halaal, vegetarian and paediatric lines, provisioned through vetted regional suppliers under cold-chain and food-safety certification. Campus logistics comprise central stores and a materials-management platform integrated with the ERP, pneumatic tube and autonomous cart distribution for pharmacy and laboratory, the drone network for blood and urgent medications, a central laundry and linen service engineered for infection control, and a fleet operation spanning ambulances, shuttles and supply vehicles. These services are structured as performance-contracted units of the SPV with published service-level standards, local-hiring covenants, and supplier-development programmes that channel campus demand into the surrounding economy of the Federal Capital Territory.</w:t>
      </w:r>
    </w:p>
    <w:p>
      <w:pPr>
        <w:pStyle w:val="Heading1"/>
        <w:spacing w:after="200" w:before="360"/>
      </w:pPr>
      <w:r>
        <w:rPr>
          <w:rFonts w:ascii="Georgia" w:cs="Georgia" w:eastAsia="Georgia" w:hAnsi="Georgia"/>
          <w:b/>
          <w:bCs/>
          <w:color w:val="1F3B57"/>
          <w:sz w:val="30"/>
          <w:szCs w:val="30"/>
        </w:rPr>
        <w:t xml:space="preserve">11. Hospitality and Commercial District</w:t>
      </w:r>
    </w:p>
    <w:p>
      <w:pPr>
        <w:spacing w:after="160" w:line="276"/>
        <w:jc w:val="both"/>
      </w:pPr>
      <w:r>
        <w:rPr>
          <w:rFonts w:ascii="Georgia" w:cs="Georgia" w:eastAsia="Georgia" w:hAnsi="Georgia"/>
          <w:sz w:val="22"/>
          <w:szCs w:val="22"/>
        </w:rPr>
        <w:t xml:space="preserve">Hotel capacity is phased with clinical volumes: a 120-key 4-star medical hotel in Phase 1, followed by a 5-star flag and a 3-star/extended-stay property, with international guest houses and a physicians' residence supporting the Diaspora Medical Corps. The commercial spine holds the shopping centre, banking district, food courts, and the conference and innovation centre marketed for medical congresses, SOAD assemblies and corporate retreats. Heritage-and-health packages — screening, wellness, ancestral tourism — are co-marketed with Diaspora travel networks.</w:t>
      </w:r>
    </w:p>
    <w:p>
      <w:pPr>
        <w:pStyle w:val="Heading1"/>
        <w:spacing w:after="200" w:before="360"/>
      </w:pPr>
      <w:r>
        <w:rPr>
          <w:rFonts w:ascii="Georgia" w:cs="Georgia" w:eastAsia="Georgia" w:hAnsi="Georgia"/>
          <w:b/>
          <w:bCs/>
          <w:color w:val="1F3B57"/>
          <w:sz w:val="30"/>
          <w:szCs w:val="30"/>
        </w:rPr>
        <w:t xml:space="preserve">12. Digital Health and Smart City Strategy</w:t>
      </w:r>
    </w:p>
    <w:p>
      <w:pPr>
        <w:spacing w:after="160" w:line="276"/>
        <w:jc w:val="both"/>
      </w:pPr>
      <w:r>
        <w:rPr>
          <w:rFonts w:ascii="Georgia" w:cs="Georgia" w:eastAsia="Georgia" w:hAnsi="Georgia"/>
          <w:sz w:val="22"/>
          <w:szCs w:val="22"/>
        </w:rPr>
        <w:t xml:space="preserve">A single campus operating system integrates the electronic medical record, enterprise resource planning, building management, security, energy and logistics, with an AI layer for bed management, theatre scheduling, imaging triage, predictive maintenance and revenue-cycle automation, and a campus digital twin for planning and emergency simulation. Patient-facing services include wearable monitoring, a unified app, drone delivery of blood and medications, and the Telemedicine Command Centre. Data governance follows Nigeria's data protection regime with health-grade security, sovereign hosting in the on-campus data centre, and disaster-recovery replication.</w:t>
      </w:r>
    </w:p>
    <w:p>
      <w:pPr>
        <w:pStyle w:val="Heading1"/>
        <w:spacing w:after="200" w:before="360"/>
      </w:pPr>
      <w:r>
        <w:rPr>
          <w:rFonts w:ascii="Georgia" w:cs="Georgia" w:eastAsia="Georgia" w:hAnsi="Georgia"/>
          <w:b/>
          <w:bCs/>
          <w:color w:val="1F3B57"/>
          <w:sz w:val="30"/>
          <w:szCs w:val="30"/>
        </w:rPr>
        <w:t xml:space="preserve">13. Utilities, Renewable Energy, Water and Waste</w:t>
      </w:r>
    </w:p>
    <w:p>
      <w:pPr>
        <w:pStyle w:val="ListParagraph"/>
        <w:numPr>
          <w:ilvl w:val="0"/>
          <w:numId w:val="2"/>
        </w:numPr>
        <w:spacing w:after="100" w:line="264"/>
        <w:jc w:val="both"/>
      </w:pPr>
      <w:r>
        <w:rPr>
          <w:rFonts w:ascii="Georgia" w:cs="Georgia" w:eastAsia="Georgia" w:hAnsi="Georgia"/>
          <w:b/>
          <w:bCs/>
          <w:sz w:val="22"/>
          <w:szCs w:val="22"/>
        </w:rPr>
        <w:t xml:space="preserve">Energy — </w:t>
      </w:r>
      <w:r>
        <w:rPr>
          <w:rFonts w:ascii="Georgia" w:cs="Georgia" w:eastAsia="Georgia" w:hAnsi="Georgia"/>
          <w:sz w:val="22"/>
          <w:szCs w:val="22"/>
        </w:rPr>
        <w:t xml:space="preserve">A solar photovoltaic park with battery storage sized toward campus self-sufficiency, supplemented by biogas from campus organic waste and grid interconnection for resilience; diesel confined to emergency backup.</w:t>
      </w:r>
    </w:p>
    <w:p>
      <w:pPr>
        <w:pStyle w:val="ListParagraph"/>
        <w:numPr>
          <w:ilvl w:val="0"/>
          <w:numId w:val="2"/>
        </w:numPr>
        <w:spacing w:after="100" w:line="264"/>
        <w:jc w:val="both"/>
      </w:pPr>
      <w:r>
        <w:rPr>
          <w:rFonts w:ascii="Georgia" w:cs="Georgia" w:eastAsia="Georgia" w:hAnsi="Georgia"/>
          <w:b/>
          <w:bCs/>
          <w:sz w:val="22"/>
          <w:szCs w:val="22"/>
        </w:rPr>
        <w:t xml:space="preserve">Water — </w:t>
      </w:r>
      <w:r>
        <w:rPr>
          <w:rFonts w:ascii="Georgia" w:cs="Georgia" w:eastAsia="Georgia" w:hAnsi="Georgia"/>
          <w:sz w:val="22"/>
          <w:szCs w:val="22"/>
        </w:rPr>
        <w:t xml:space="preserve">Raw-water abstraction and treatment, campus-wide potable distribution, rainwater harvesting, and a wastewater recycling plant supplying irrigation and non-potable reuse.</w:t>
      </w:r>
    </w:p>
    <w:p>
      <w:pPr>
        <w:pStyle w:val="ListParagraph"/>
        <w:numPr>
          <w:ilvl w:val="0"/>
          <w:numId w:val="2"/>
        </w:numPr>
        <w:spacing w:after="100" w:line="264"/>
        <w:jc w:val="both"/>
      </w:pPr>
      <w:r>
        <w:rPr>
          <w:rFonts w:ascii="Georgia" w:cs="Georgia" w:eastAsia="Georgia" w:hAnsi="Georgia"/>
          <w:b/>
          <w:bCs/>
          <w:sz w:val="22"/>
          <w:szCs w:val="22"/>
        </w:rPr>
        <w:t xml:space="preserve">Waste — </w:t>
      </w:r>
      <w:r>
        <w:rPr>
          <w:rFonts w:ascii="Georgia" w:cs="Georgia" w:eastAsia="Georgia" w:hAnsi="Georgia"/>
          <w:sz w:val="22"/>
          <w:szCs w:val="22"/>
        </w:rPr>
        <w:t xml:space="preserve">A dedicated medical waste treatment facility (autoclave and controlled incineration to international emission standards), campus-wide segregation, recycling and composting streams.</w:t>
      </w:r>
    </w:p>
    <w:p>
      <w:pPr>
        <w:pStyle w:val="ListParagraph"/>
        <w:numPr>
          <w:ilvl w:val="0"/>
          <w:numId w:val="2"/>
        </w:numPr>
        <w:spacing w:after="100" w:line="264"/>
        <w:jc w:val="both"/>
      </w:pPr>
      <w:r>
        <w:rPr>
          <w:rFonts w:ascii="Georgia" w:cs="Georgia" w:eastAsia="Georgia" w:hAnsi="Georgia"/>
          <w:b/>
          <w:bCs/>
          <w:sz w:val="22"/>
          <w:szCs w:val="22"/>
        </w:rPr>
        <w:t xml:space="preserve">Networks — </w:t>
      </w:r>
      <w:r>
        <w:rPr>
          <w:rFonts w:ascii="Georgia" w:cs="Georgia" w:eastAsia="Georgia" w:hAnsi="Georgia"/>
          <w:sz w:val="22"/>
          <w:szCs w:val="22"/>
        </w:rPr>
        <w:t xml:space="preserve">District utility corridors, underground reticulation, smart metering, and a central works department for lifecycle maintenance.</w:t>
      </w:r>
    </w:p>
    <w:p>
      <w:pPr>
        <w:pStyle w:val="Heading1"/>
        <w:spacing w:after="200" w:before="360"/>
      </w:pPr>
      <w:r>
        <w:rPr>
          <w:rFonts w:ascii="Georgia" w:cs="Georgia" w:eastAsia="Georgia" w:hAnsi="Georgia"/>
          <w:b/>
          <w:bCs/>
          <w:color w:val="1F3B57"/>
          <w:sz w:val="30"/>
          <w:szCs w:val="30"/>
        </w:rPr>
        <w:t xml:space="preserve">14. Security and Disaster Preparedness</w:t>
      </w:r>
    </w:p>
    <w:p>
      <w:pPr>
        <w:spacing w:after="160" w:line="276"/>
        <w:jc w:val="both"/>
      </w:pPr>
      <w:r>
        <w:rPr>
          <w:rFonts w:ascii="Georgia" w:cs="Georgia" w:eastAsia="Georgia" w:hAnsi="Georgia"/>
          <w:sz w:val="22"/>
          <w:szCs w:val="22"/>
        </w:rPr>
        <w:t xml:space="preserve">The security master plan layers controlled perimeter and card-access zones, smart CCTV analytics, an on-site police post and fire service, canine and patrol units, and executive protection protocols for VIP medical travel. The disaster preparedness plan covers mass-casualty incidents, epidemic surge (with the Infectious Disease Institute as regional response anchor), fire, flood and civil contingency, with annual full-campus exercises and mutual-aid agreements with state emergency services.</w:t>
      </w:r>
    </w:p>
    <w:p>
      <w:pPr>
        <w:pStyle w:val="Heading1"/>
        <w:spacing w:after="200" w:before="360"/>
      </w:pPr>
      <w:r>
        <w:rPr>
          <w:rFonts w:ascii="Georgia" w:cs="Georgia" w:eastAsia="Georgia" w:hAnsi="Georgia"/>
          <w:b/>
          <w:bCs/>
          <w:color w:val="1F3B57"/>
          <w:sz w:val="30"/>
          <w:szCs w:val="30"/>
        </w:rPr>
        <w:t xml:space="preserve">PART D — DELIVERY</w:t>
      </w:r>
    </w:p>
    <w:p>
      <w:pPr>
        <w:pStyle w:val="Heading1"/>
        <w:spacing w:after="200" w:before="360"/>
      </w:pPr>
      <w:r>
        <w:rPr>
          <w:rFonts w:ascii="Georgia" w:cs="Georgia" w:eastAsia="Georgia" w:hAnsi="Georgia"/>
          <w:b/>
          <w:bCs/>
          <w:color w:val="1F3B57"/>
          <w:sz w:val="30"/>
          <w:szCs w:val="30"/>
        </w:rPr>
        <w:t xml:space="preserve">15. Construction Phasing</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700"/>
        <w:gridCol w:w="4000"/>
        <w:gridCol w:w="2100"/>
        <w:gridCol w:w="1800"/>
      </w:tblGrid>
      <w:tr>
        <w:tc>
          <w:tcPr>
            <w:tcW w:type="dxa" w:w="17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Phase</w:t>
            </w:r>
          </w:p>
        </w:tc>
        <w:tc>
          <w:tcPr>
            <w:tcW w:type="dxa" w:w="4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Scope</w:t>
            </w:r>
          </w:p>
        </w:tc>
        <w:tc>
          <w:tcPr>
            <w:tcW w:type="dxa" w:w="21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Cost</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Window</w:t>
            </w:r>
          </w:p>
        </w:tc>
      </w:tr>
      <w:tr>
        <w:tc>
          <w:tcPr>
            <w:tcW w:type="dxa" w:w="17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0</w:t>
            </w:r>
          </w:p>
        </w:tc>
        <w:tc>
          <w:tcPr>
            <w:tcW w:type="dxa" w:w="4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MoUs and PPDP agreements; land, title and survey; master planning; ESIA; feasibility; bond structuring; financial close</w:t>
            </w:r>
          </w:p>
        </w:tc>
        <w:tc>
          <w:tcPr>
            <w:tcW w:type="dxa" w:w="2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US$40–60m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2026–2028</w:t>
            </w:r>
          </w:p>
        </w:tc>
      </w:tr>
      <w:tr>
        <w:tc>
          <w:tcPr>
            <w:tcW w:type="dxa" w:w="17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w:t>
            </w:r>
          </w:p>
        </w:tc>
        <w:tc>
          <w:tcPr>
            <w:tcW w:type="dxa" w:w="4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Bulk earthworks and utilities; solar, water and waste plants; 400-bed hospital core with Cancer, Heart, Kidney and Trauma services; diagnostics; medical hotel; staff housing</w:t>
            </w:r>
          </w:p>
        </w:tc>
        <w:tc>
          <w:tcPr>
            <w:tcW w:type="dxa" w:w="2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US$650–800m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2027–2031</w:t>
            </w:r>
          </w:p>
        </w:tc>
      </w:tr>
      <w:tr>
        <w:tc>
          <w:tcPr>
            <w:tcW w:type="dxa" w:w="17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2</w:t>
            </w:r>
          </w:p>
        </w:tc>
        <w:tc>
          <w:tcPr>
            <w:tcW w:type="dxa" w:w="4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Bed expansion to 1,000; transplant, neuroscience, orthopaedics, mother &amp; child; academic campus; research institute; second hotel; agro-processing</w:t>
            </w:r>
          </w:p>
        </w:tc>
        <w:tc>
          <w:tcPr>
            <w:tcW w:type="dxa" w:w="2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US$500–650m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2032–2035</w:t>
            </w:r>
          </w:p>
        </w:tc>
      </w:tr>
      <w:tr>
        <w:tc>
          <w:tcPr>
            <w:tcW w:type="dxa" w:w="17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3</w:t>
            </w:r>
          </w:p>
        </w:tc>
        <w:tc>
          <w:tcPr>
            <w:tcW w:type="dxa" w:w="4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Precision medicine, AI and robotics build-out; incubator; conference centre; sports village; full smart-city systems; remaining commercial districts</w:t>
            </w:r>
          </w:p>
        </w:tc>
        <w:tc>
          <w:tcPr>
            <w:tcW w:type="dxa" w:w="2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US$350–500m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2036–2039</w:t>
            </w:r>
          </w:p>
        </w:tc>
      </w:tr>
      <w:tr>
        <w:tc>
          <w:tcPr>
            <w:tcW w:type="dxa" w:w="17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4</w:t>
            </w:r>
          </w:p>
        </w:tc>
        <w:tc>
          <w:tcPr>
            <w:tcW w:type="dxa" w:w="4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Optimization and replacement capex; the Six Cities roll-out under the Nigeria Health Commonwealth; SOAD-led pan-African replication</w:t>
            </w:r>
          </w:p>
        </w:tc>
        <w:tc>
          <w:tcPr>
            <w:tcW w:type="dxa" w:w="2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Ongoing</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2040+</w:t>
            </w:r>
          </w:p>
        </w:tc>
      </w:tr>
    </w:tbl>
    <w:p>
      <w:pPr>
        <w:spacing w:after="120"/>
      </w:pPr>
    </w:p>
    <w:p>
      <w:pPr>
        <w:pStyle w:val="Heading1"/>
        <w:spacing w:after="200" w:before="360"/>
      </w:pPr>
      <w:r>
        <w:rPr>
          <w:rFonts w:ascii="Georgia" w:cs="Georgia" w:eastAsia="Georgia" w:hAnsi="Georgia"/>
          <w:b/>
          <w:bCs/>
          <w:color w:val="1F3B57"/>
          <w:sz w:val="30"/>
          <w:szCs w:val="30"/>
        </w:rPr>
        <w:t xml:space="preserve">16. Procurement Strategy</w:t>
      </w:r>
    </w:p>
    <w:p>
      <w:pPr>
        <w:spacing w:after="160" w:line="276"/>
        <w:jc w:val="both"/>
      </w:pPr>
      <w:r>
        <w:rPr>
          <w:rFonts w:ascii="Georgia" w:cs="Georgia" w:eastAsia="Georgia" w:hAnsi="Georgia"/>
          <w:sz w:val="22"/>
          <w:szCs w:val="22"/>
        </w:rPr>
        <w:t xml:space="preserve">Major works are packaged for fixed-price EPC delivery by internationally experienced contractors, tendered competitively with prequalification for hospital construction track record; an owner's engineer and independent project manager supervise. Medical equipment is procured through vendor-neutral output specifications with lifecycle (not lowest-capital) evaluation, managed equipment service options for imaging fleets, and manufacturer training and uptime guarantees. Local content is contractually mandated where capability exists — civil works, furniture, joinery, food, textiles — with a supplier-development programme run through the campus training institutions. All procurement operates under a published anti-corruption and conflict-of-interest policy with DFI-standard integrity due diligence and open-book audit rights for SOAD and lenders.</w:t>
      </w:r>
    </w:p>
    <w:p>
      <w:pPr>
        <w:pStyle w:val="Heading1"/>
        <w:spacing w:after="200" w:before="360"/>
      </w:pPr>
      <w:r>
        <w:rPr>
          <w:rFonts w:ascii="Georgia" w:cs="Georgia" w:eastAsia="Georgia" w:hAnsi="Georgia"/>
          <w:b/>
          <w:bCs/>
          <w:color w:val="1F3B57"/>
          <w:sz w:val="30"/>
          <w:szCs w:val="30"/>
        </w:rPr>
        <w:t xml:space="preserve">17. Equipment Plan (Summary)</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200"/>
        <w:gridCol w:w="5400"/>
      </w:tblGrid>
      <w:tr>
        <w:tc>
          <w:tcPr>
            <w:tcW w:type="dxa" w:w="4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Category</w:t>
            </w:r>
          </w:p>
        </w:tc>
        <w:tc>
          <w:tcPr>
            <w:tcW w:type="dxa" w:w="5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Representative Content</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Imaging &amp; radiology</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3T MRI (x2), 128+ slice CT (x3), PET-CT, gamma camera, cath labs (x3), digital radiography, mammography, ultrasound fleet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Radiotherapy &amp; oncology</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Linear accelerators (x2 growing to x4), brachytherapy, treatment planning, chemo compounding isolators</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Surgical &amp; robotics</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 modular theatres, surgical robot, navigation, laparoscopy towers, orthopaedic power systems</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Critical care</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 ICU/HDU beds with ventilators, monitors, ECMO capability, NICU incubator fleet</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Laboratories</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Automated chemistry/haematology lines, microbiology, histopathology, molecular/genomics platform, blood bank &amp; stem cell lab</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Renal &amp; transplant</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 dialysis stations, water treatment loops, transplant theatre instrumentation</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Digital &amp; biomedical</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EMR/ERP platform, PACS, telemedicine suites, simulation manikins, biomedical workshop &amp; test equipment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Support plant</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CSSD sterilizers, medical gas plant, laundry, kitchens, mortuary, pneumatic tube system</w:t>
            </w:r>
          </w:p>
        </w:tc>
      </w:tr>
    </w:tbl>
    <w:p>
      <w:pPr>
        <w:spacing w:after="120"/>
      </w:pPr>
    </w:p>
    <w:p>
      <w:pPr>
        <w:spacing w:after="160" w:line="276"/>
        <w:jc w:val="both"/>
      </w:pPr>
      <w:r>
        <w:rPr>
          <w:rFonts w:ascii="Georgia" w:cs="Georgia" w:eastAsia="Georgia" w:hAnsi="Georgia"/>
          <w:sz w:val="22"/>
          <w:szCs w:val="22"/>
        </w:rPr>
        <w:t xml:space="preserve">A fully itemized, room-by-room equipment schedule with budget pricing is produced during detailed design as the Detailed Equipment Lists deliverable.</w:t>
      </w:r>
    </w:p>
    <w:p>
      <w:pPr>
        <w:pStyle w:val="Heading1"/>
        <w:spacing w:after="200" w:before="360"/>
      </w:pPr>
      <w:r>
        <w:rPr>
          <w:rFonts w:ascii="Georgia" w:cs="Georgia" w:eastAsia="Georgia" w:hAnsi="Georgia"/>
          <w:b/>
          <w:bCs/>
          <w:color w:val="1F3B57"/>
          <w:sz w:val="30"/>
          <w:szCs w:val="30"/>
        </w:rPr>
        <w:t xml:space="preserve">18. Human Resource Plan</w:t>
      </w:r>
    </w:p>
    <w:p>
      <w:pPr>
        <w:spacing w:after="160" w:line="276"/>
        <w:jc w:val="both"/>
      </w:pPr>
      <w:r>
        <w:rPr>
          <w:rFonts w:ascii="Georgia" w:cs="Georgia" w:eastAsia="Georgia" w:hAnsi="Georgia"/>
          <w:sz w:val="22"/>
          <w:szCs w:val="22"/>
        </w:rPr>
        <w:t xml:space="preserve">Indicative staffing at full operation (~1,000 beds), phased from approximately 1,800 FTEs at Phase 1 opening:</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2200"/>
        <w:gridCol w:w="3000"/>
      </w:tblGrid>
      <w:tr>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Category</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FTEs (full build)</w:t>
            </w:r>
          </w:p>
        </w:tc>
        <w:tc>
          <w:tcPr>
            <w:tcW w:type="dxa" w:w="3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Sourcing</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Consultants &amp; specialist physicians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450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Nigerian recruitment + Diaspora Medical Corps + international hires</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Resident doctors &amp; medical officers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Own residency programmes; national recruitment</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Nursing &amp; midwifery</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2,200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Own nursing college pipeline; national &amp; Diaspora recruitment</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Allied health &amp; pharmacy</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Allied health institute pipeline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Biomedical, engineering &amp; facilities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450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Local + specialist international</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Administration, finance, IT, supply chain</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National recruitment; SPV management</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Hospitality, facilities, security, transport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1,500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Predominantly host-community employment</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direct</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~6,500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20,000+ direct across all districts at full city build-out</w:t>
            </w:r>
          </w:p>
        </w:tc>
      </w:tr>
    </w:tbl>
    <w:p>
      <w:pPr>
        <w:spacing w:after="120"/>
      </w:pPr>
    </w:p>
    <w:p>
      <w:pPr>
        <w:spacing w:after="160" w:line="276"/>
        <w:jc w:val="both"/>
      </w:pPr>
      <w:r>
        <w:rPr>
          <w:rFonts w:ascii="Georgia" w:cs="Georgia" w:eastAsia="Georgia" w:hAnsi="Georgia"/>
          <w:sz w:val="22"/>
          <w:szCs w:val="22"/>
        </w:rPr>
        <w:t xml:space="preserve">Compensation is benchmarked to retain against Gulf and UK recruitment, supplemented by campus housing, schooling partnerships, research time and equity-linked incentives for leadership. A published local-employment covenant guarantees host-community hiring shares for non-specialist roles, with training ladders into skilled positions.</w:t>
      </w:r>
    </w:p>
    <w:p>
      <w:pPr>
        <w:pStyle w:val="Heading1"/>
        <w:spacing w:after="200" w:before="360"/>
      </w:pPr>
      <w:r>
        <w:rPr>
          <w:rFonts w:ascii="Georgia" w:cs="Georgia" w:eastAsia="Georgia" w:hAnsi="Georgia"/>
          <w:b/>
          <w:bCs/>
          <w:color w:val="1F3B57"/>
          <w:sz w:val="30"/>
          <w:szCs w:val="30"/>
        </w:rPr>
        <w:t xml:space="preserve">19. Marketing Strategy</w:t>
      </w:r>
    </w:p>
    <w:p>
      <w:pPr>
        <w:pStyle w:val="ListParagraph"/>
        <w:numPr>
          <w:ilvl w:val="0"/>
          <w:numId w:val="2"/>
        </w:numPr>
        <w:spacing w:after="100" w:line="264"/>
        <w:jc w:val="both"/>
      </w:pPr>
      <w:r>
        <w:rPr>
          <w:rFonts w:ascii="Georgia" w:cs="Georgia" w:eastAsia="Georgia" w:hAnsi="Georgia"/>
          <w:b/>
          <w:bCs/>
          <w:sz w:val="22"/>
          <w:szCs w:val="22"/>
        </w:rPr>
        <w:t xml:space="preserve">Domestic institutional — </w:t>
      </w:r>
      <w:r>
        <w:rPr>
          <w:rFonts w:ascii="Georgia" w:cs="Georgia" w:eastAsia="Georgia" w:hAnsi="Georgia"/>
          <w:sz w:val="22"/>
          <w:szCs w:val="22"/>
        </w:rPr>
        <w:t xml:space="preserve">Corporate and HMO contracting 18 months before opening; executive health packages for oil &amp; gas, banking and telecoms.</w:t>
      </w:r>
    </w:p>
    <w:p>
      <w:pPr>
        <w:pStyle w:val="ListParagraph"/>
        <w:numPr>
          <w:ilvl w:val="0"/>
          <w:numId w:val="2"/>
        </w:numPr>
        <w:spacing w:after="100" w:line="264"/>
        <w:jc w:val="both"/>
      </w:pPr>
      <w:r>
        <w:rPr>
          <w:rFonts w:ascii="Georgia" w:cs="Georgia" w:eastAsia="Georgia" w:hAnsi="Georgia"/>
          <w:b/>
          <w:bCs/>
          <w:sz w:val="22"/>
          <w:szCs w:val="22"/>
        </w:rPr>
        <w:t xml:space="preserve">Diaspora — </w:t>
      </w:r>
      <w:r>
        <w:rPr>
          <w:rFonts w:ascii="Georgia" w:cs="Georgia" w:eastAsia="Georgia" w:hAnsi="Georgia"/>
          <w:sz w:val="22"/>
          <w:szCs w:val="22"/>
        </w:rPr>
        <w:t xml:space="preserve">SOAD-channelled campaigns to Diaspora congregations, associations and professional bodies; medical-and-heritage packages; US/EU price-comparison positioning for self-pay procedures.</w:t>
      </w:r>
    </w:p>
    <w:p>
      <w:pPr>
        <w:pStyle w:val="ListParagraph"/>
        <w:numPr>
          <w:ilvl w:val="0"/>
          <w:numId w:val="2"/>
        </w:numPr>
        <w:spacing w:after="100" w:line="264"/>
        <w:jc w:val="both"/>
      </w:pPr>
      <w:r>
        <w:rPr>
          <w:rFonts w:ascii="Georgia" w:cs="Georgia" w:eastAsia="Georgia" w:hAnsi="Georgia"/>
          <w:b/>
          <w:bCs/>
          <w:sz w:val="22"/>
          <w:szCs w:val="22"/>
        </w:rPr>
        <w:t xml:space="preserve">Regional — </w:t>
      </w:r>
      <w:r>
        <w:rPr>
          <w:rFonts w:ascii="Georgia" w:cs="Georgia" w:eastAsia="Georgia" w:hAnsi="Georgia"/>
          <w:sz w:val="22"/>
          <w:szCs w:val="22"/>
        </w:rPr>
        <w:t xml:space="preserve">Referral agreements with ECOWAS ministries and insurers, francophone liaison desk, air-ambulance partnerships.</w:t>
      </w:r>
    </w:p>
    <w:p>
      <w:pPr>
        <w:pStyle w:val="ListParagraph"/>
        <w:numPr>
          <w:ilvl w:val="0"/>
          <w:numId w:val="2"/>
        </w:numPr>
        <w:spacing w:after="100" w:line="264"/>
        <w:jc w:val="both"/>
      </w:pPr>
      <w:r>
        <w:rPr>
          <w:rFonts w:ascii="Georgia" w:cs="Georgia" w:eastAsia="Georgia" w:hAnsi="Georgia"/>
          <w:b/>
          <w:bCs/>
          <w:sz w:val="22"/>
          <w:szCs w:val="22"/>
        </w:rPr>
        <w:t xml:space="preserve">Reputation engine — </w:t>
      </w:r>
      <w:r>
        <w:rPr>
          <w:rFonts w:ascii="Georgia" w:cs="Georgia" w:eastAsia="Georgia" w:hAnsi="Georgia"/>
          <w:sz w:val="22"/>
          <w:szCs w:val="22"/>
        </w:rPr>
        <w:t xml:space="preserve">Outcome transparency (published quality dashboards), international accreditation milestones, medical congress hosting, teleconsult funnels converting virtual patients to campus care.</w:t>
      </w:r>
    </w:p>
    <w:p>
      <w:pPr>
        <w:pStyle w:val="Heading1"/>
        <w:spacing w:after="200" w:before="360"/>
      </w:pPr>
      <w:r>
        <w:rPr>
          <w:rFonts w:ascii="Georgia" w:cs="Georgia" w:eastAsia="Georgia" w:hAnsi="Georgia"/>
          <w:b/>
          <w:bCs/>
          <w:color w:val="1F3B57"/>
          <w:sz w:val="30"/>
          <w:szCs w:val="30"/>
        </w:rPr>
        <w:t xml:space="preserve">20. Partnership Framework</w:t>
      </w:r>
    </w:p>
    <w:p>
      <w:pPr>
        <w:spacing w:after="160" w:line="276"/>
        <w:jc w:val="both"/>
      </w:pPr>
      <w:r>
        <w:rPr>
          <w:rFonts w:ascii="Georgia" w:cs="Georgia" w:eastAsia="Georgia" w:hAnsi="Georgia"/>
          <w:sz w:val="22"/>
          <w:szCs w:val="22"/>
        </w:rPr>
        <w:t xml:space="preserve">Beyond SOAD and the Federal partners, the project will contract: an international hospital operating partner for commissioning and early operations; academic affiliation with at least one ranked international medical faculty and Diaspora institutions (including historically Black colleges and universities and Caribbean medical schools) for curriculum, faculty exchange and accreditation support; original equipment manufacturer partnerships with training academies on campus; airline and travel-trade partnerships for medical tourism logistics; and clinical-trial relationships with global pharmaceutical and contract-research organisations through the Research and Grants Institute.</w:t>
      </w:r>
    </w:p>
    <w:p>
      <w:pPr>
        <w:pStyle w:val="Heading1"/>
        <w:spacing w:after="200" w:before="360"/>
      </w:pPr>
      <w:r>
        <w:rPr>
          <w:rFonts w:ascii="Georgia" w:cs="Georgia" w:eastAsia="Georgia" w:hAnsi="Georgia"/>
          <w:b/>
          <w:bCs/>
          <w:color w:val="1F3B57"/>
          <w:sz w:val="30"/>
          <w:szCs w:val="30"/>
        </w:rPr>
        <w:t xml:space="preserve">PART E — FINANCE, GOVERNANCE AND EXECUTION</w:t>
      </w:r>
    </w:p>
    <w:p>
      <w:pPr>
        <w:pStyle w:val="Heading1"/>
        <w:spacing w:after="200" w:before="360"/>
      </w:pPr>
      <w:r>
        <w:rPr>
          <w:rFonts w:ascii="Georgia" w:cs="Georgia" w:eastAsia="Georgia" w:hAnsi="Georgia"/>
          <w:b/>
          <w:bCs/>
          <w:color w:val="1F3B57"/>
          <w:sz w:val="30"/>
          <w:szCs w:val="30"/>
        </w:rPr>
        <w:t xml:space="preserve">21. Financial Plan</w:t>
      </w:r>
    </w:p>
    <w:p>
      <w:pPr>
        <w:spacing w:after="160" w:line="276"/>
        <w:jc w:val="both"/>
      </w:pPr>
      <w:r>
        <w:rPr>
          <w:rFonts w:ascii="Georgia" w:cs="Georgia" w:eastAsia="Georgia" w:hAnsi="Georgia"/>
          <w:sz w:val="22"/>
          <w:szCs w:val="22"/>
        </w:rPr>
        <w:t xml:space="preserve">The accompanying 30-year Financial Feasibility Model (Excel) is fully formula-driven from a single assumptions sheet and should be read as the authoritative financial statement of this proposal. Base-case highlights at mid-case scale (~US$2.0bn programme): revenue builds from approximately US$68m in the 2031 opening year to approximately US$550m by 2040 and US$900m by 2050; EBITDA margins mature into the low-to-mid thirties percent; the unlevered post-tax project IRR is approximately 9% in the deliberately conservative base case, rising toward the mid-teens under the high scenario (fifteen percent stronger revenue capture) and with the tariff, occupancy and international-mix upsides itemized in the model; peak cumulative funding need including construction-period interest is met by a standby facility of approximately US$340m, fully repaid by 2043 in the base case; and the model runs cash-positive throughout with the stated sources. Sponsors draw attention to the model's conservatism — domestic-weighted tariffs, no terminal value, full campus capex charged against the health economics — and invite SOAD's analysts to stress and tune every assumption.</w:t>
      </w:r>
    </w:p>
    <w:p>
      <w:pPr>
        <w:pStyle w:val="Heading1"/>
        <w:spacing w:after="200" w:before="360"/>
      </w:pPr>
      <w:r>
        <w:rPr>
          <w:rFonts w:ascii="Georgia" w:cs="Georgia" w:eastAsia="Georgia" w:hAnsi="Georgia"/>
          <w:b/>
          <w:bCs/>
          <w:color w:val="1F3B57"/>
          <w:sz w:val="30"/>
          <w:szCs w:val="30"/>
        </w:rPr>
        <w:t xml:space="preserve">22. Funding Structure</w:t>
      </w:r>
    </w:p>
    <w:p>
      <w:pPr>
        <w:spacing w:after="160" w:line="276"/>
        <w:jc w:val="both"/>
      </w:pPr>
      <w:r>
        <w:rPr>
          <w:rFonts w:ascii="Georgia" w:cs="Georgia" w:eastAsia="Georgia" w:hAnsi="Georgia"/>
          <w:sz w:val="22"/>
          <w:szCs w:val="22"/>
        </w:rPr>
        <w:t xml:space="preserve">Sources at mid-case (per the Financing sheet of the model): SOAD anchor investment 12.5%; Diaspora Bond Programme 17.5%; Diaspora and strategic equity 12.5%; DFI debt 22.5%; commercial debt 22.5%; Government in-kind (land and enabling infrastructure) 12.5%. The Diaspora Bond is issued in accessible denominations from US$1,000 through a regulated, independently trusteed programme with covenanted use of proceeds; the SOAD anchor commitment is the condition precedent that launches the public bond marketing. Green and social tranches will be structured against the renewable, water and Endowment assets to access climate and impact finance.</w:t>
      </w:r>
    </w:p>
    <w:p>
      <w:pPr>
        <w:pStyle w:val="Heading1"/>
        <w:spacing w:after="200" w:before="360"/>
      </w:pPr>
      <w:r>
        <w:rPr>
          <w:rFonts w:ascii="Georgia" w:cs="Georgia" w:eastAsia="Georgia" w:hAnsi="Georgia"/>
          <w:b/>
          <w:bCs/>
          <w:color w:val="1F3B57"/>
          <w:sz w:val="30"/>
          <w:szCs w:val="30"/>
        </w:rPr>
        <w:t xml:space="preserve">23. Governance</w:t>
      </w:r>
    </w:p>
    <w:p>
      <w:pPr>
        <w:spacing w:after="160" w:line="276"/>
        <w:jc w:val="both"/>
      </w:pPr>
      <w:r>
        <w:rPr>
          <w:rFonts w:ascii="Georgia" w:cs="Georgia" w:eastAsia="Georgia" w:hAnsi="Georgia"/>
          <w:sz w:val="22"/>
          <w:szCs w:val="22"/>
        </w:rPr>
        <w:t xml:space="preserve">NMC Development Company (SPV) is governed by a Board comprising SOAD nominees, sponsor and investor directors, Federal nominees — including a nominee of the Office of the Wife of the President — and independent directors including international clinical governance expertise. Standing committees: Audit &amp; Risk; Clinical Governance &amp; Quality; Nominations &amp; Remuneration; and Community &amp; Endowment liaison. The Community Health Endowment Fund is a separate trust with SOAD-nominated trustees, publishing audited accounts and beneficiary statistics annually. Investor protections include quarterly reporting, DFI-standard covenants, independent bond trustee, and open-book audit rights.</w:t>
      </w:r>
    </w:p>
    <w:p>
      <w:pPr>
        <w:pStyle w:val="Heading1"/>
        <w:spacing w:after="200" w:before="360"/>
      </w:pPr>
      <w:r>
        <w:rPr>
          <w:rFonts w:ascii="Georgia" w:cs="Georgia" w:eastAsia="Georgia" w:hAnsi="Georgia"/>
          <w:b/>
          <w:bCs/>
          <w:color w:val="1F3B57"/>
          <w:sz w:val="30"/>
          <w:szCs w:val="30"/>
        </w:rPr>
        <w:t xml:space="preserve">24. Legal and Regulatory Pathway</w:t>
      </w:r>
    </w:p>
    <w:p>
      <w:pPr>
        <w:spacing w:after="160" w:line="276"/>
        <w:jc w:val="both"/>
      </w:pPr>
      <w:r>
        <w:rPr>
          <w:rFonts w:ascii="Georgia" w:cs="Georgia" w:eastAsia="Georgia" w:hAnsi="Georgia"/>
          <w:sz w:val="22"/>
          <w:szCs w:val="22"/>
        </w:rPr>
        <w:t xml:space="preserve">Key workstreams: a Federal Capital Territory Administration land grant with Certificate of Occupancy and a legislated concession under the ICRC framework; Corporate Affairs Commission incorporation of the SPV and the Endowment trust; health facility licensing and professional accreditation (MDCN, NMCN, pharmacy and laboratory councils); NAFDAC licensing for the pharmaceutical unit; NUC and professional-council accreditation for the academic institutions; Nigerian SEC engagement for the bond programme with parallel counsel in Diaspora jurisdictions on cross-border offering compliance; pioneer status and duty-relief applications; and data-protection registration. All securities issuance proceeds only upon regulatory approval in each offering jurisdiction — nothing in this proposal constitutes an offer of securities.</w:t>
      </w:r>
    </w:p>
    <w:p>
      <w:pPr>
        <w:pStyle w:val="Heading1"/>
        <w:spacing w:after="200" w:before="360"/>
      </w:pPr>
      <w:r>
        <w:rPr>
          <w:rFonts w:ascii="Georgia" w:cs="Georgia" w:eastAsia="Georgia" w:hAnsi="Georgia"/>
          <w:b/>
          <w:bCs/>
          <w:color w:val="1F3B57"/>
          <w:sz w:val="30"/>
          <w:szCs w:val="30"/>
        </w:rPr>
        <w:t xml:space="preserve">25. Environmental and Social Impact and Sustainability</w:t>
      </w:r>
    </w:p>
    <w:p>
      <w:pPr>
        <w:spacing w:after="160" w:line="276"/>
        <w:jc w:val="both"/>
      </w:pPr>
      <w:r>
        <w:rPr>
          <w:rFonts w:ascii="Georgia" w:cs="Georgia" w:eastAsia="Georgia" w:hAnsi="Georgia"/>
          <w:sz w:val="22"/>
          <w:szCs w:val="22"/>
        </w:rPr>
        <w:t xml:space="preserve">A full ESIA to Nigerian regulation and IFC Performance Standards precedes construction, with a Resettlement and Livelihood Restoration Framework should any displacement arise, a Community Development Agreement negotiated with host communities, a grievance-redress mechanism, and quarterly public environmental reporting. Sustainability commitments: carbon-conscious operation with a published pathway toward campus carbon neutrality; water positivity through recycling and rain harvesting; zero untreated medical waste; biodiversity net gain across the green belts and lakes; and annual sustainability reporting aligned to recognized international frameworks.</w:t>
      </w:r>
    </w:p>
    <w:p>
      <w:pPr>
        <w:pStyle w:val="Heading1"/>
        <w:spacing w:after="200" w:before="360"/>
      </w:pPr>
      <w:r>
        <w:rPr>
          <w:rFonts w:ascii="Georgia" w:cs="Georgia" w:eastAsia="Georgia" w:hAnsi="Georgia"/>
          <w:b/>
          <w:bCs/>
          <w:color w:val="1F3B57"/>
          <w:sz w:val="30"/>
          <w:szCs w:val="30"/>
        </w:rPr>
        <w:t xml:space="preserve">26. Risk Management</w:t>
      </w:r>
    </w:p>
    <w:p>
      <w:pPr>
        <w:spacing w:after="160" w:line="276"/>
        <w:jc w:val="both"/>
      </w:pPr>
      <w:r>
        <w:rPr>
          <w:rFonts w:ascii="Georgia" w:cs="Georgia" w:eastAsia="Georgia" w:hAnsi="Georgia"/>
          <w:sz w:val="22"/>
          <w:szCs w:val="22"/>
        </w:rPr>
        <w:t xml:space="preserve">The full risk register is maintained in the Risk Analysis deliverable; principal risks and mitigations are summarized in the Executive Summary (financing, investor confidence, construction, demand, workforce, FX, political, quality, security, and environmental-social risks). Three merit emphasis for SOAD: first, Diaspora investor confidence, addressed through independent trusteeship, regulated issuance, covenanted proceeds and SOAD's own board oversight; second, specialist workforce, addressed structurally by the Diaspora Medical Corps and the academic pipeline; third, foreign exchange, addressed by dollar-linked international revenue, local-cost naira financing and DFI political-risk instruments.</w:t>
      </w:r>
    </w:p>
    <w:p>
      <w:pPr>
        <w:pStyle w:val="Heading1"/>
        <w:spacing w:after="200" w:before="360"/>
      </w:pPr>
      <w:r>
        <w:rPr>
          <w:rFonts w:ascii="Georgia" w:cs="Georgia" w:eastAsia="Georgia" w:hAnsi="Georgia"/>
          <w:b/>
          <w:bCs/>
          <w:color w:val="1F3B57"/>
          <w:sz w:val="30"/>
          <w:szCs w:val="30"/>
        </w:rPr>
        <w:t xml:space="preserve">27. Implementation Roadmap and KPIs</w:t>
      </w:r>
    </w:p>
    <w:p>
      <w:pPr>
        <w:pStyle w:val="Heading2"/>
        <w:spacing w:after="140" w:before="260"/>
      </w:pPr>
      <w:r>
        <w:rPr>
          <w:rFonts w:ascii="Georgia" w:cs="Georgia" w:eastAsia="Georgia" w:hAnsi="Georgia"/>
          <w:b/>
          <w:bCs/>
          <w:color w:val="8A6D1F"/>
          <w:sz w:val="25"/>
          <w:szCs w:val="25"/>
        </w:rPr>
        <w:t xml:space="preserve">27.1 First Twelve Months</w:t>
      </w:r>
    </w:p>
    <w:p>
      <w:pPr>
        <w:pStyle w:val="ListParagraph"/>
        <w:numPr>
          <w:ilvl w:val="0"/>
          <w:numId w:val="2"/>
        </w:numPr>
        <w:spacing w:after="100" w:line="264"/>
        <w:jc w:val="both"/>
      </w:pPr>
      <w:r>
        <w:rPr>
          <w:rFonts w:ascii="Georgia" w:cs="Georgia" w:eastAsia="Georgia" w:hAnsi="Georgia"/>
          <w:sz w:val="22"/>
          <w:szCs w:val="22"/>
        </w:rPr>
        <w:t xml:space="preserve">Month 1–3: SOAD–sponsor Memorandum of Understanding; joint delegation to the Office of the Wife of the President and the FCT Administration; site shortlist within the Federal Capital Territory.</w:t>
      </w:r>
    </w:p>
    <w:p>
      <w:pPr>
        <w:pStyle w:val="ListParagraph"/>
        <w:numPr>
          <w:ilvl w:val="0"/>
          <w:numId w:val="2"/>
        </w:numPr>
        <w:spacing w:after="100" w:line="264"/>
        <w:jc w:val="both"/>
      </w:pPr>
      <w:r>
        <w:rPr>
          <w:rFonts w:ascii="Georgia" w:cs="Georgia" w:eastAsia="Georgia" w:hAnsi="Georgia"/>
          <w:sz w:val="22"/>
          <w:szCs w:val="22"/>
        </w:rPr>
        <w:t xml:space="preserve">Month 3–6: SPV incorporation; transaction advisers appointed; feasibility, master plan and ESIA commissioned; land agreement executed.</w:t>
      </w:r>
    </w:p>
    <w:p>
      <w:pPr>
        <w:pStyle w:val="ListParagraph"/>
        <w:numPr>
          <w:ilvl w:val="0"/>
          <w:numId w:val="2"/>
        </w:numPr>
        <w:spacing w:after="100" w:line="264"/>
        <w:jc w:val="both"/>
      </w:pPr>
      <w:r>
        <w:rPr>
          <w:rFonts w:ascii="Georgia" w:cs="Georgia" w:eastAsia="Georgia" w:hAnsi="Georgia"/>
          <w:sz w:val="22"/>
          <w:szCs w:val="22"/>
        </w:rPr>
        <w:t xml:space="preserve">Month 6–9: DFI engagement round with SOAD; bond programme legal structuring; hospital operating partner shortlist; Diaspora Medical Corps register opens.</w:t>
      </w:r>
    </w:p>
    <w:p>
      <w:pPr>
        <w:pStyle w:val="ListParagraph"/>
        <w:numPr>
          <w:ilvl w:val="0"/>
          <w:numId w:val="2"/>
        </w:numPr>
        <w:spacing w:after="100" w:line="264"/>
        <w:jc w:val="both"/>
      </w:pPr>
      <w:r>
        <w:rPr>
          <w:rFonts w:ascii="Georgia" w:cs="Georgia" w:eastAsia="Georgia" w:hAnsi="Georgia"/>
          <w:sz w:val="22"/>
          <w:szCs w:val="22"/>
        </w:rPr>
        <w:t xml:space="preserve">Month 9–12: Anchor commitments documented; bond regulatory filings; EPC prequalification; groundbreaking target set.</w:t>
      </w:r>
    </w:p>
    <w:p>
      <w:pPr>
        <w:pStyle w:val="Heading2"/>
        <w:spacing w:after="140" w:before="260"/>
      </w:pPr>
      <w:r>
        <w:rPr>
          <w:rFonts w:ascii="Georgia" w:cs="Georgia" w:eastAsia="Georgia" w:hAnsi="Georgia"/>
          <w:b/>
          <w:bCs/>
          <w:color w:val="8A6D1F"/>
          <w:sz w:val="25"/>
          <w:szCs w:val="25"/>
        </w:rPr>
        <w:t xml:space="preserve">27.2 Key Performance Indicators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600"/>
        <w:gridCol w:w="4800"/>
      </w:tblGrid>
      <w:tr>
        <w:tc>
          <w:tcPr>
            <w:tcW w:type="dxa" w:w="4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Domain</w:t>
            </w:r>
          </w:p>
        </w:tc>
        <w:tc>
          <w:tcPr>
            <w:tcW w:type="dxa" w:w="4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Illustrative KPIs</w:t>
            </w:r>
          </w:p>
        </w:tc>
      </w:tr>
      <w:tr>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Delivery</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Financial close date; Phase 1 cost/schedule variance; commissioning milestones</w:t>
            </w:r>
          </w:p>
        </w:tc>
      </w:tr>
      <w:tr>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Clinical</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Accreditation milestones; risk-adjusted mortality; infection rates; patient experience scores</w:t>
            </w:r>
          </w:p>
        </w:tc>
      </w:tr>
      <w:tr>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Financial</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Revenue vs plan; EBITDA margin; debt service cover; bond programme subscription</w:t>
            </w:r>
          </w:p>
        </w:tc>
      </w:tr>
      <w:tr>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Bond investors by country; Diaspora Medical Corps enrolment and service months; Diaspora patient volumes</w:t>
            </w:r>
          </w:p>
        </w:tc>
      </w:tr>
      <w:tr>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Social</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Endowment transfers and patients subsidized; host-community employment share; training graduates</w:t>
            </w:r>
          </w:p>
        </w:tc>
      </w:tr>
      <w:tr>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Sustainability</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Renewable share of energy; water recycled; waste treated; carbon intensity per bed-day</w:t>
            </w:r>
          </w:p>
        </w:tc>
      </w:tr>
    </w:tbl>
    <w:p>
      <w:pPr>
        <w:spacing w:after="120"/>
      </w:pPr>
    </w:p>
    <w:p>
      <w:pPr>
        <w:pStyle w:val="Heading1"/>
        <w:spacing w:after="200" w:before="360"/>
      </w:pPr>
      <w:r>
        <w:rPr>
          <w:rFonts w:ascii="Georgia" w:cs="Georgia" w:eastAsia="Georgia" w:hAnsi="Georgia"/>
          <w:b/>
          <w:bCs/>
          <w:color w:val="1F3B57"/>
          <w:sz w:val="30"/>
          <w:szCs w:val="30"/>
        </w:rPr>
        <w:t xml:space="preserve">PART F — THE NATIONAL HORIZON</w:t>
      </w:r>
    </w:p>
    <w:p>
      <w:pPr>
        <w:pStyle w:val="Heading1"/>
        <w:spacing w:after="200" w:before="360"/>
      </w:pPr>
      <w:r>
        <w:rPr>
          <w:rFonts w:ascii="Georgia" w:cs="Georgia" w:eastAsia="Georgia" w:hAnsi="Georgia"/>
          <w:b/>
          <w:bCs/>
          <w:color w:val="1F3B57"/>
          <w:sz w:val="30"/>
          <w:szCs w:val="30"/>
        </w:rPr>
        <w:t xml:space="preserve">28. One Nigeria, One Health System: The Six-Region Network</w:t>
      </w:r>
    </w:p>
    <w:p>
      <w:pPr>
        <w:spacing w:after="160" w:line="276"/>
        <w:jc w:val="both"/>
      </w:pPr>
      <w:r>
        <w:rPr>
          <w:rFonts w:ascii="Georgia" w:cs="Georgia" w:eastAsia="Georgia" w:hAnsi="Georgia"/>
          <w:sz w:val="22"/>
          <w:szCs w:val="22"/>
        </w:rPr>
        <w:t xml:space="preserve">NMC is designed from inception not as an isolated development but as the national prototype of a proposed network: six National Medical Regions, each anchored by an integrated Medical City on the NMC template, coordinated under the Nigeria Health Commonwealth (NHC) — carried to the public as The Six Cities programme. The institutional name declares the model: health wealth held in common by a federation of member institutions. The public name gives two hundred million citizens a story they can follow, city by city. The Nigeria Medicare City in the Federal Capital Territory is the First City of the Commonwealth — the national prototype at the heart of the federation — with six regional Medicare Cities to follow, one in each geopolitical region: Akure, Bayelsa, Anambra, Zamfara, Gombe and Kaduna. The guiding philosophy is “One Nigeria, One Health System”: existing federal, state and accredited private hospitals remain the backbone of service delivery, while the national platform provides coordination, financing, digital integration, quality assurance, workforce planning and specialized regional capacity. Nothing is duplicated; everything is connected.</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000"/>
        <w:gridCol w:w="2400"/>
        <w:gridCol w:w="4200"/>
      </w:tblGrid>
      <w:tr>
        <w:tc>
          <w:tcPr>
            <w:tcW w:type="dxa" w:w="3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National Medical Region</w:t>
            </w:r>
          </w:p>
        </w:tc>
        <w:tc>
          <w:tcPr>
            <w:tcW w:type="dxa" w:w="2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Proposed Hub</w:t>
            </w:r>
          </w:p>
        </w:tc>
        <w:tc>
          <w:tcPr>
            <w:tcW w:type="dxa" w:w="4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Strategic Specialization (alongside full tertiary care)</w:t>
            </w:r>
          </w:p>
        </w:tc>
      </w:tr>
      <w:tr>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National Prototype</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Federal Capital Territory — Nigeria Medicare City</w:t>
            </w:r>
          </w:p>
        </w:tc>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Full-spectrum tertiary and quaternary care; national coordination centre of the Commonwealth</w:t>
            </w:r>
          </w:p>
        </w:tc>
      </w:tr>
      <w:tr>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South-West</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Akure</w:t>
            </w:r>
          </w:p>
        </w:tc>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Kidney disease, infectious diseases and tropical medicine</w:t>
            </w:r>
          </w:p>
        </w:tc>
      </w:tr>
      <w:tr>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South-South</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Bayelsa</w:t>
            </w:r>
          </w:p>
        </w:tc>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Environmental, occupational and marine medicine</w:t>
            </w:r>
          </w:p>
        </w:tc>
      </w:tr>
      <w:tr>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South-East</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Anambra</w:t>
            </w:r>
          </w:p>
        </w:tc>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technology and cardiovascular sciences</w:t>
            </w:r>
          </w:p>
        </w:tc>
      </w:tr>
      <w:tr>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North-West</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Zamfara</w:t>
            </w:r>
          </w:p>
        </w:tc>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Public health, rural medicine and community health systems</w:t>
            </w:r>
          </w:p>
        </w:tc>
      </w:tr>
      <w:tr>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North-East</w:t>
            </w:r>
          </w:p>
        </w:tc>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Gombe</w:t>
            </w:r>
          </w:p>
        </w:tc>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Maternal, child and nutrition research</w:t>
            </w:r>
          </w:p>
        </w:tc>
      </w:tr>
      <w:tr>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North-Central</w:t>
            </w:r>
          </w:p>
        </w:tc>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Kaduna</w:t>
            </w:r>
          </w:p>
        </w:tc>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Trauma, rehabilitation and defence medicine</w:t>
            </w:r>
          </w:p>
        </w:tc>
      </w:tr>
    </w:tbl>
    <w:p>
      <w:pPr>
        <w:spacing w:after="120"/>
      </w:pPr>
    </w:p>
    <w:p>
      <w:pPr>
        <w:spacing w:after="160" w:line="276"/>
        <w:jc w:val="both"/>
      </w:pPr>
      <w:r>
        <w:rPr>
          <w:rFonts w:ascii="Georgia" w:cs="Georgia" w:eastAsia="Georgia" w:hAnsi="Georgia"/>
          <w:sz w:val="22"/>
          <w:szCs w:val="22"/>
        </w:rPr>
        <w:t xml:space="preserve">Each Medical City replicates the NMC formula — 1,000–2,000 bed teaching hospital, children's and women's hospitals, cancer, heart, kidney, neuroscience, trauma and infectious disease institutes, rehabilitation centre, national reference laboratory, medical and nursing universities, allied health schools, pharmaceutical and medical equipment manufacturing, biotechnology park, clinical trials centre, telemedicine centre, hotels, staff housing, renewable energy park and research institute. Regional headquarters were selected to spread transformational investment beyond the largest cities; an alternative alignment — one flagship city per existing geopolitical zone with satellite campuses in neighbouring states — remains open for consultation with the Federal Government.</w:t>
      </w:r>
    </w:p>
    <w:p>
      <w:pPr>
        <w:pStyle w:val="Heading1"/>
        <w:spacing w:after="200" w:before="360"/>
      </w:pPr>
      <w:r>
        <w:rPr>
          <w:rFonts w:ascii="Georgia" w:cs="Georgia" w:eastAsia="Georgia" w:hAnsi="Georgia"/>
          <w:b/>
          <w:bCs/>
          <w:color w:val="1F3B57"/>
          <w:sz w:val="30"/>
          <w:szCs w:val="30"/>
        </w:rPr>
        <w:t xml:space="preserve">29. The National Health Trust Fund</w:t>
      </w:r>
    </w:p>
    <w:p>
      <w:pPr>
        <w:spacing w:after="160" w:line="276"/>
        <w:jc w:val="both"/>
      </w:pPr>
      <w:r>
        <w:rPr>
          <w:rFonts w:ascii="Georgia" w:cs="Georgia" w:eastAsia="Georgia" w:hAnsi="Georgia"/>
          <w:sz w:val="22"/>
          <w:szCs w:val="22"/>
        </w:rPr>
        <w:t xml:space="preserve">At national scale, the network is financed by a National Health Trust Fund with diversified, resilient revenue streams — insulating healthcare from annual budget volatility while keeping individual contributions modest:</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1800"/>
        <w:gridCol w:w="44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Source</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Share</w:t>
            </w:r>
          </w:p>
        </w:tc>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Mechanism</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Federal Government</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40%</w:t>
            </w:r>
          </w:p>
        </w:tc>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Annual statutory allocation to the Trust</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Civil servants</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w:t>
            </w:r>
          </w:p>
        </w:tc>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Graduated monthly contributions by salary grade — from ₦500 (Levels 1–6) through ₦1,000 (7–10), ₦2,500 (12–14), ₦5,000 (Directors) to ₦10,000 (Permanent Secretaries)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Private sector</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w:t>
            </w:r>
          </w:p>
        </w:tc>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CSR programmes, payroll health contributions, foundation grants and endowments, incentivized through tax relief and priority employee healthcare access</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NHIA</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w:t>
            </w:r>
          </w:p>
        </w:tc>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The National Health Insurance Authority as principal purchaser — accrediting facilities, buying services, reimbursing care, monitoring quality and rewarding performance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Philanthropy &amp; endowment</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w:t>
            </w:r>
          </w:p>
        </w:tc>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Nigerian philanthropists, the Diaspora, faith organizations, foundations, alumni endowments and international development partners</w:t>
            </w:r>
          </w:p>
        </w:tc>
      </w:tr>
    </w:tbl>
    <w:p>
      <w:pPr>
        <w:spacing w:after="120"/>
      </w:pPr>
    </w:p>
    <w:p>
      <w:pPr>
        <w:spacing w:after="160" w:line="276"/>
        <w:jc w:val="both"/>
      </w:pPr>
      <w:r>
        <w:rPr>
          <w:rFonts w:ascii="Georgia" w:cs="Georgia" w:eastAsia="Georgia" w:hAnsi="Georgia"/>
          <w:sz w:val="22"/>
          <w:szCs w:val="22"/>
        </w:rPr>
        <w:t xml:space="preserve">Every Nigerian receives a national health identity, with covered services spanning primary, emergency and specialist care through cancer treatment, dialysis, transplant, cardiac surgery, neurosurgery, maternal and child health, mental health and rehabilitation — subject to modest co-payments with exemptions for the poorest and most vulnerable. Governance is insulated from political cycles through a National Governing Board, an Independent Financial Board, a Medical Advisory Council, a Patient Rights Commission, an Audit and Anti-Corruption Unit, and merit-appointed, fixed-term executive leadership.</w:t>
      </w:r>
    </w:p>
    <w:p>
      <w:pPr>
        <w:pStyle w:val="Heading1"/>
        <w:spacing w:after="200" w:before="360"/>
      </w:pPr>
      <w:r>
        <w:rPr>
          <w:rFonts w:ascii="Georgia" w:cs="Georgia" w:eastAsia="Georgia" w:hAnsi="Georgia"/>
          <w:b/>
          <w:bCs/>
          <w:color w:val="1F3B57"/>
          <w:sz w:val="30"/>
          <w:szCs w:val="30"/>
        </w:rPr>
        <w:t xml:space="preserve">30. Integration, Not Duplication</w:t>
      </w:r>
    </w:p>
    <w:p>
      <w:pPr>
        <w:spacing w:after="160" w:line="276"/>
        <w:jc w:val="both"/>
      </w:pPr>
      <w:r>
        <w:rPr>
          <w:rFonts w:ascii="Georgia" w:cs="Georgia" w:eastAsia="Georgia" w:hAnsi="Georgia"/>
          <w:sz w:val="22"/>
          <w:szCs w:val="22"/>
        </w:rPr>
        <w:t xml:space="preserve">The network strengthens existing government hospitals rather than competing with them. Its operating machinery comprises:</w:t>
      </w:r>
    </w:p>
    <w:p>
      <w:pPr>
        <w:pStyle w:val="ListParagraph"/>
        <w:numPr>
          <w:ilvl w:val="0"/>
          <w:numId w:val="2"/>
        </w:numPr>
        <w:spacing w:after="100" w:line="264"/>
        <w:jc w:val="both"/>
      </w:pPr>
      <w:r>
        <w:rPr>
          <w:rFonts w:ascii="Georgia" w:cs="Georgia" w:eastAsia="Georgia" w:hAnsi="Georgia"/>
          <w:b/>
          <w:bCs/>
          <w:sz w:val="22"/>
          <w:szCs w:val="22"/>
        </w:rPr>
        <w:t xml:space="preserve">Tiered referral system — </w:t>
      </w:r>
      <w:r>
        <w:rPr>
          <w:rFonts w:ascii="Georgia" w:cs="Georgia" w:eastAsia="Georgia" w:hAnsi="Georgia"/>
          <w:sz w:val="22"/>
          <w:szCs w:val="22"/>
        </w:rPr>
        <w:t xml:space="preserve">A six-level structured referral pathway — Primary Health Centres to General Hospitals to State Specialist Hospitals to Federal Medical Centres to Teaching Hospitals to Regional Medical Cities — with each level managing what it is equipped for and referring upward only when higher expertise or technology is required.</w:t>
      </w:r>
    </w:p>
    <w:p>
      <w:pPr>
        <w:pStyle w:val="ListParagraph"/>
        <w:numPr>
          <w:ilvl w:val="0"/>
          <w:numId w:val="2"/>
        </w:numPr>
        <w:spacing w:after="100" w:line="264"/>
        <w:jc w:val="both"/>
      </w:pPr>
      <w:r>
        <w:rPr>
          <w:rFonts w:ascii="Georgia" w:cs="Georgia" w:eastAsia="Georgia" w:hAnsi="Georgia"/>
          <w:b/>
          <w:bCs/>
          <w:sz w:val="22"/>
          <w:szCs w:val="22"/>
        </w:rPr>
        <w:t xml:space="preserve">Functional designation — </w:t>
      </w:r>
      <w:r>
        <w:rPr>
          <w:rFonts w:ascii="Georgia" w:cs="Georgia" w:eastAsia="Georgia" w:hAnsi="Georgia"/>
          <w:sz w:val="22"/>
          <w:szCs w:val="22"/>
        </w:rPr>
        <w:t xml:space="preserve">Existing institutions designated by function as centres of excellence — for example FMC Owo in paediatric nephrology, infectious diseases and Lassa fever; UCH Ibadan in liver and bone-marrow transplantation; LUTH in cardiology and cardiac surgery; National Hospital Abuja in neurosciences — so hospitals form a coordinated national service rather than competing to duplicate identical specialties.</w:t>
      </w:r>
    </w:p>
    <w:p>
      <w:pPr>
        <w:pStyle w:val="ListParagraph"/>
        <w:numPr>
          <w:ilvl w:val="0"/>
          <w:numId w:val="2"/>
        </w:numPr>
        <w:spacing w:after="100" w:line="264"/>
        <w:jc w:val="both"/>
      </w:pPr>
      <w:r>
        <w:rPr>
          <w:rFonts w:ascii="Georgia" w:cs="Georgia" w:eastAsia="Georgia" w:hAnsi="Georgia"/>
          <w:b/>
          <w:bCs/>
          <w:sz w:val="22"/>
          <w:szCs w:val="22"/>
        </w:rPr>
        <w:t xml:space="preserve">Hub-and-spoke — </w:t>
      </w:r>
      <w:r>
        <w:rPr>
          <w:rFonts w:ascii="Georgia" w:cs="Georgia" w:eastAsia="Georgia" w:hAnsi="Georgia"/>
          <w:sz w:val="22"/>
          <w:szCs w:val="22"/>
        </w:rPr>
        <w:t xml:space="preserve">Each Regional Medical City as a hub supporting its surrounding facilities — the FCT hub serving the National Hospital Abuja, the University of Abuja Teaching Hospital at Gwagwalada, district hospitals and primary care across the capital region — with teleconsultation, specialist outreach, training, referral coordination, laboratory and blood-bank support.</w:t>
      </w:r>
    </w:p>
    <w:p>
      <w:pPr>
        <w:pStyle w:val="ListParagraph"/>
        <w:numPr>
          <w:ilvl w:val="0"/>
          <w:numId w:val="2"/>
        </w:numPr>
        <w:spacing w:after="100" w:line="264"/>
        <w:jc w:val="both"/>
      </w:pPr>
      <w:r>
        <w:rPr>
          <w:rFonts w:ascii="Georgia" w:cs="Georgia" w:eastAsia="Georgia" w:hAnsi="Georgia"/>
          <w:b/>
          <w:bCs/>
          <w:sz w:val="22"/>
          <w:szCs w:val="22"/>
        </w:rPr>
        <w:t xml:space="preserve">National digital health platform — </w:t>
      </w:r>
      <w:r>
        <w:rPr>
          <w:rFonts w:ascii="Georgia" w:cs="Georgia" w:eastAsia="Georgia" w:hAnsi="Georgia"/>
          <w:sz w:val="22"/>
          <w:szCs w:val="22"/>
        </w:rPr>
        <w:t xml:space="preserve">A unique electronic health record for every citizen — records, imaging archive, laboratory systems, referral tracking, pharmacy and immunization history, telemedicine and AI-assisted decision support — so a patient referred from a Primary Health Centre in Zamfara to a Regional Medical City never repeats investigations unnecessarily.</w:t>
      </w:r>
    </w:p>
    <w:p>
      <w:pPr>
        <w:pStyle w:val="ListParagraph"/>
        <w:numPr>
          <w:ilvl w:val="0"/>
          <w:numId w:val="2"/>
        </w:numPr>
        <w:spacing w:after="100" w:line="264"/>
        <w:jc w:val="both"/>
      </w:pPr>
      <w:r>
        <w:rPr>
          <w:rFonts w:ascii="Georgia" w:cs="Georgia" w:eastAsia="Georgia" w:hAnsi="Georgia"/>
          <w:b/>
          <w:bCs/>
          <w:sz w:val="22"/>
          <w:szCs w:val="22"/>
        </w:rPr>
        <w:t xml:space="preserve">Workforce and supply chain — </w:t>
      </w:r>
      <w:r>
        <w:rPr>
          <w:rFonts w:ascii="Georgia" w:cs="Georgia" w:eastAsia="Georgia" w:hAnsi="Georgia"/>
          <w:sz w:val="22"/>
          <w:szCs w:val="22"/>
        </w:rPr>
        <w:t xml:space="preserve">A National Health Workforce Commission for planning, rotational specialist postings, fellowships, continuing professional development and rural incentives; and central procurement of medicines, reagents, dialysis consumables, vaccines and equipment for cost and quality.</w:t>
      </w:r>
    </w:p>
    <w:p>
      <w:pPr>
        <w:pStyle w:val="ListParagraph"/>
        <w:numPr>
          <w:ilvl w:val="0"/>
          <w:numId w:val="2"/>
        </w:numPr>
        <w:spacing w:after="100" w:line="264"/>
        <w:jc w:val="both"/>
      </w:pPr>
      <w:r>
        <w:rPr>
          <w:rFonts w:ascii="Georgia" w:cs="Georgia" w:eastAsia="Georgia" w:hAnsi="Georgia"/>
          <w:b/>
          <w:bCs/>
          <w:sz w:val="22"/>
          <w:szCs w:val="22"/>
        </w:rPr>
        <w:t xml:space="preserve">Clinical networks and EMS — </w:t>
      </w:r>
      <w:r>
        <w:rPr>
          <w:rFonts w:ascii="Georgia" w:cs="Georgia" w:eastAsia="Georgia" w:hAnsi="Georgia"/>
          <w:sz w:val="22"/>
          <w:szCs w:val="22"/>
        </w:rPr>
        <w:t xml:space="preserve">Disease-specific national networks — kidney, cancer, cardiac, stroke, maternal health, trauma, mental health and infectious disease — each with a lead centre, regional hubs and participating hospitals; and a single national emergency system with one number, regional dispatch, GPS-tracked ambulances and air-ambulance links.</w:t>
      </w:r>
    </w:p>
    <w:p>
      <w:pPr>
        <w:spacing w:after="160" w:line="276"/>
        <w:jc w:val="both"/>
      </w:pPr>
      <w:r>
        <w:rPr>
          <w:rFonts w:ascii="Georgia" w:cs="Georgia" w:eastAsia="Georgia" w:hAnsi="Georgia"/>
          <w:sz w:val="22"/>
          <w:szCs w:val="22"/>
        </w:rPr>
        <w:t xml:space="preserve">Primary care remains the foundation: the working allocation of national effort is approximately 60% primary, 25% secondary and 15% tertiary and quaternary care, with hospital funding partly performance-based against outcomes, waiting times, infection rates, patient satisfaction and research productivity.</w:t>
      </w:r>
    </w:p>
    <w:p>
      <w:pPr>
        <w:pStyle w:val="Heading1"/>
        <w:spacing w:after="200" w:before="360"/>
      </w:pPr>
      <w:r>
        <w:rPr>
          <w:rFonts w:ascii="Georgia" w:cs="Georgia" w:eastAsia="Georgia" w:hAnsi="Georgia"/>
          <w:b/>
          <w:bCs/>
          <w:color w:val="1F3B57"/>
          <w:sz w:val="30"/>
          <w:szCs w:val="30"/>
        </w:rPr>
        <w:t xml:space="preserve">31. The National Health Ecosystem</w:t>
      </w:r>
    </w:p>
    <w:p>
      <w:pPr>
        <w:spacing w:after="160" w:line="276"/>
        <w:jc w:val="both"/>
      </w:pPr>
      <w:r>
        <w:rPr>
          <w:rFonts w:ascii="Georgia" w:cs="Georgia" w:eastAsia="Georgia" w:hAnsi="Georgia"/>
          <w:sz w:val="22"/>
          <w:szCs w:val="22"/>
        </w:rPr>
        <w:t xml:space="preserve">Six interconnected pillars make the platform the operating system of Nigerian healthcare rather than another provider: healthcare delivery; health financing; medical education; research and innovation; pharmaceutical and medical-technology industries; and digital health. Supporting institutions include a biomedical manufacturing programme (syringes, IV fluids, dialysis consumables, catheters, reagents, prosthetics, equipment maintenance and medical software), a National Health Leadership Academy training medical directors, hospital chief executives, chief nurses, health economists, informaticians and quality managers, Africa's largest telemedicine network connecting every Primary Health Centre to specialists, regional research networks assembling multicentre cohorts, and a National Health Endowment whose investment returns subsidize care for the vulnerable — with the Diaspora Medical Corps pioneered at NMC extended nationwide.</w:t>
      </w:r>
    </w:p>
    <w:p>
      <w:pPr>
        <w:pStyle w:val="Heading1"/>
        <w:spacing w:after="200" w:before="360"/>
      </w:pPr>
      <w:r>
        <w:rPr>
          <w:rFonts w:ascii="Georgia" w:cs="Georgia" w:eastAsia="Georgia" w:hAnsi="Georgia"/>
          <w:b/>
          <w:bCs/>
          <w:color w:val="1F3B57"/>
          <w:sz w:val="30"/>
          <w:szCs w:val="30"/>
        </w:rPr>
        <w:t xml:space="preserve">32. Nigeria Health Vision 2055: The 30-Year Roadmap</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4600"/>
      </w:tblGrid>
      <w:tr>
        <w:tc>
          <w:tcPr>
            <w:tcW w:type="dxa" w:w="2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Phase</w:t>
            </w:r>
          </w:p>
        </w:tc>
        <w:tc>
          <w:tcPr>
            <w:tcW w:type="dxa" w:w="2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Years</w:t>
            </w:r>
          </w:p>
        </w:tc>
        <w:tc>
          <w:tcPr>
            <w:tcW w:type="dxa" w:w="4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Milestones</w:t>
            </w:r>
          </w:p>
        </w:tc>
      </w:tr>
      <w:tr>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w:t>
            </w:r>
          </w:p>
        </w:tc>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1–5</w:t>
            </w:r>
          </w:p>
        </w:tc>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Enabling legislation and governance; digital health platform; financing reform; structured referral system; the national prototype — the Nigeria Medicare City, Federal Capital Territory</w:t>
            </w:r>
          </w:p>
        </w:tc>
      </w:tr>
      <w:tr>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2</w:t>
            </w:r>
          </w:p>
        </w:tc>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6–10</w:t>
            </w:r>
          </w:p>
        </w:tc>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All six Regional Medical Cities; national ambulance system; national electronic health record; workforce expansion</w:t>
            </w:r>
          </w:p>
        </w:tc>
      </w:tr>
      <w:tr>
        <w:tc>
          <w:tcPr>
            <w:tcW w:type="dxa" w:w="2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3</w:t>
            </w:r>
          </w:p>
        </w:tc>
        <w:tc>
          <w:tcPr>
            <w:tcW w:type="dxa" w:w="2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11–20</w:t>
            </w:r>
          </w:p>
        </w:tc>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Biomedical manufacturing at scale; regional medical tourism; advanced research centres; AI integration</w:t>
            </w:r>
          </w:p>
        </w:tc>
      </w:tr>
      <w:tr>
        <w:tc>
          <w:tcPr>
            <w:tcW w:type="dxa" w:w="2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4</w:t>
            </w:r>
          </w:p>
        </w:tc>
        <w:tc>
          <w:tcPr>
            <w:tcW w:type="dxa" w:w="2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Years 21–30</w:t>
            </w:r>
          </w:p>
        </w:tc>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Pan-African expansion; export of Nigerian healthcare expertise; global partnerships</w:t>
            </w:r>
          </w:p>
        </w:tc>
      </w:tr>
    </w:tbl>
    <w:p>
      <w:pPr>
        <w:spacing w:after="120"/>
      </w:pPr>
    </w:p>
    <w:p>
      <w:pPr>
        <w:spacing w:after="160" w:line="276"/>
        <w:jc w:val="both"/>
      </w:pPr>
      <w:r>
        <w:rPr>
          <w:rFonts w:ascii="Georgia" w:cs="Georgia" w:eastAsia="Georgia" w:hAnsi="Georgia"/>
          <w:sz w:val="22"/>
          <w:szCs w:val="22"/>
        </w:rPr>
        <w:t xml:space="preserve">The recommended vehicle is a National Health Transformation Programme established through an Act of the National Assembly, under which existing federal, state and accredited private hospitals become members of an integrated network — retaining their ownership and governance while adopting common standards, digital infrastructure, financing arrangements and referral pathways. The full articulation of this vision is the subject of a companion national blueprint, Nigeria Health Vision 2055 — the founding document of the Nigeria Health Commonwealth — in preparation.</w:t>
      </w:r>
    </w:p>
    <w:p>
      <w:pPr>
        <w:spacing w:after="160" w:line="276"/>
        <w:jc w:val="both"/>
      </w:pPr>
      <w:r>
        <w:rPr>
          <w:rFonts w:ascii="Georgia" w:cs="Georgia" w:eastAsia="Georgia" w:hAnsi="Georgia"/>
          <w:sz w:val="22"/>
          <w:szCs w:val="22"/>
        </w:rPr>
        <w:t xml:space="preserve">For SOAD, the national horizon transforms the meaning of this proposal. The anchor investment sought here does not fund one city; it proves the template for six — and positions the Diaspora, through SOAD, as founding partner of The Six Cities and of a system whose final phase carries Nigerian healthcare capacity across the continent. NMC is the first gate of a much longer road, and the Sixth Region holds the key.</w:t>
      </w:r>
    </w:p>
    <w:p>
      <w:pPr>
        <w:pStyle w:val="Heading1"/>
        <w:spacing w:after="200" w:before="360"/>
      </w:pPr>
      <w:r>
        <w:rPr>
          <w:rFonts w:ascii="Georgia" w:cs="Georgia" w:eastAsia="Georgia" w:hAnsi="Georgia"/>
          <w:b/>
          <w:bCs/>
          <w:color w:val="1F3B57"/>
          <w:sz w:val="30"/>
          <w:szCs w:val="30"/>
        </w:rPr>
        <w:t xml:space="preserve">33. Conclusion</w:t>
      </w:r>
    </w:p>
    <w:p>
      <w:pPr>
        <w:spacing w:after="160" w:line="276"/>
        <w:jc w:val="both"/>
      </w:pPr>
      <w:r>
        <w:rPr>
          <w:rFonts w:ascii="Georgia" w:cs="Georgia" w:eastAsia="Georgia" w:hAnsi="Georgia"/>
          <w:sz w:val="22"/>
          <w:szCs w:val="22"/>
        </w:rPr>
        <w:t xml:space="preserve">NMC is large because the problem is large; it is integrated because health, food, knowledge and energy fail or flourish together; and it is offered to SOAD because no other institution can do what the Diaspora, organized, can do here: anchor the capital, send the physicians, guarantee the integrity, and claim the achievement. The sponsors respectfully request SOAD's formal engagement on the accompanying Term Sheet and stand ready to begin.</w:t>
      </w:r>
    </w:p>
    <w:p>
      <w:pPr>
        <w:pStyle w:val="Heading2"/>
        <w:spacing w:after="140" w:before="260"/>
      </w:pPr>
      <w:r>
        <w:rPr>
          <w:rFonts w:ascii="Georgia" w:cs="Georgia" w:eastAsia="Georgia" w:hAnsi="Georgia"/>
          <w:b/>
          <w:bCs/>
          <w:color w:val="8A6D1F"/>
          <w:sz w:val="25"/>
          <w:szCs w:val="25"/>
        </w:rPr>
        <w:t xml:space="preserve">Annexes (delivered per the phasing in Section 15)</w:t>
      </w:r>
    </w:p>
    <w:p>
      <w:pPr>
        <w:spacing w:after="160" w:line="276"/>
        <w:jc w:val="both"/>
      </w:pPr>
      <w:r>
        <w:rPr>
          <w:rFonts w:ascii="Georgia" w:cs="Georgia" w:eastAsia="Georgia" w:hAnsi="Georgia"/>
          <w:sz w:val="22"/>
          <w:szCs w:val="22"/>
        </w:rPr>
        <w:t xml:space="preserve">Technical Feasibility Study; Medical Master Plan; Hospital Design Brief; Architectural Master Plan and Concept Drawings; 3D Masterplan and Floor Plans; Engineering Design Concept; Land Use Plan; Utility, Renewable Energy and Water &amp; Waste Masterplans; Financial Feasibility Model (attached); 30-Year Revenue Forecast, Capital Cost Estimates and Cash Flow Analysis (within the model); Economic Impact Assessment; Environmental &amp; Social Impact Assessment; Governance Charter; PPDP Agreements; Investment Prospectus (attached); Risk Register; Sustainability Plan; Research &amp; Innovation Strategy; Digital Health and Smart City Strategies; Security and Disaster Preparedness Plans; Construction Phasing Programme; Procurement Strategy and Plan; Detailed Equipment Lists; Human Resource Plan; Marketing Strategy; Partnership Framework; National Healthcare Transformation Blueprint — Nigeria Health Vision 2055 (concept, in preparation).</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95959"/>
        <w:sz w:val="16"/>
        <w:szCs w:val="16"/>
      </w:rPr>
      <w:t xml:space="preserve">Confidential  |  Page </w:t>
    </w:r>
    <w:r>
      <w:rPr>
        <w:rFonts w:ascii="Georgia" w:cs="Georgia" w:eastAsia="Georgia" w:hAnsi="Georgia"/>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595959"/>
        <w:sz w:val="16"/>
        <w:szCs w:val="16"/>
      </w:rPr>
      <w:t xml:space="preserve">NMC — Full Business Proposal for the State of the African Diaspora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1F3B57"/>
      <w:sz w:val="30"/>
      <w:szCs w:val="30"/>
    </w:rPr>
  </w:style>
  <w:style w:type="paragraph" w:styleId="Heading2">
    <w:name w:val="Heading 2"/>
    <w:basedOn w:val="Normal"/>
    <w:next w:val="Normal"/>
    <w:qFormat/>
    <w:rPr>
      <w:rFonts w:ascii="Georgia" w:cs="Georgia" w:eastAsia="Georgia" w:hAnsi="Georgia"/>
      <w:b/>
      <w:bCs/>
      <w:color w:val="8A6D1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2026-08-08T23:20:35.847Z</dcterms:created>
  <dcterms:modified xsi:type="dcterms:W3CDTF">2026-08-08T23:20:35.848Z</dcterms:modified>
</cp:coreProperties>
</file>

<file path=docProps/custom.xml><?xml version="1.0" encoding="utf-8"?>
<Properties xmlns="http://schemas.openxmlformats.org/officeDocument/2006/custom-properties" xmlns:vt="http://schemas.openxmlformats.org/officeDocument/2006/docPropsVTypes"/>
</file>