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spacing w:after="120"/>
        <w:jc w:val="center"/>
      </w:pPr>
      <w:r>
        <w:rPr>
          <w:rFonts w:ascii="Georgia" w:cs="Georgia" w:eastAsia="Georgia" w:hAnsi="Georgia"/>
          <w:b/>
          <w:bCs/>
          <w:color w:val="8A6D1F"/>
          <w:spacing w:val="60"/>
          <w:sz w:val="26"/>
          <w:szCs w:val="26"/>
        </w:rPr>
        <w:t xml:space="preserve">EXECUTIVE SUMMARY</w:t>
      </w:r>
    </w:p>
    <w:p>
      <w:pPr>
        <w:spacing w:after="200"/>
        <w:jc w:val="center"/>
      </w:pPr>
      <w:r>
        <w:rPr>
          <w:rFonts w:ascii="Georgia" w:cs="Georgia" w:eastAsia="Georgia" w:hAnsi="Georgia"/>
          <w:b/>
          <w:bCs/>
          <w:color w:val="1F3B57"/>
          <w:sz w:val="52"/>
          <w:szCs w:val="52"/>
        </w:rPr>
        <w:t xml:space="preserve">NIGERIA MEDICARE CITY</w:t>
      </w:r>
    </w:p>
    <w:p>
      <w:pPr>
        <w:pBdr>
          <w:bottom w:val="single" w:color="8A6D1F" w:sz="8" w:space="8"/>
        </w:pBdr>
        <w:spacing w:after="500"/>
        <w:jc w:val="center"/>
      </w:pPr>
      <w:r>
        <w:rPr>
          <w:rFonts w:ascii="Georgia" w:cs="Georgia" w:eastAsia="Georgia" w:hAnsi="Georgia"/>
          <w:i/>
          <w:iCs/>
          <w:color w:val="595959"/>
          <w:sz w:val="26"/>
          <w:szCs w:val="26"/>
        </w:rPr>
        <w:t xml:space="preserve">A World-Class Healthcare, Research, Innovation and Wellness City</w:t>
      </w:r>
    </w:p>
    <w:p>
      <w:pPr>
        <w:spacing w:after="100" w:before="600"/>
        <w:jc w:val="center"/>
      </w:pPr>
      <w:r>
        <w:rPr>
          <w:rFonts w:ascii="Georgia" w:cs="Georgia" w:eastAsia="Georgia" w:hAnsi="Georgia"/>
          <w:sz w:val="24"/>
          <w:szCs w:val="24"/>
        </w:rPr>
        <w:t xml:space="preserve">Federal Capital Territory (Abuja), Federal Republic of Nigeria</w:t>
      </w:r>
    </w:p>
    <w:p>
      <w:pPr>
        <w:spacing w:after="100"/>
        <w:jc w:val="center"/>
      </w:pPr>
      <w:r>
        <w:rPr>
          <w:rFonts w:ascii="Georgia" w:cs="Georgia" w:eastAsia="Georgia" w:hAnsi="Georgia"/>
          <w:color w:val="595959"/>
          <w:sz w:val="22"/>
          <w:szCs w:val="22"/>
        </w:rPr>
        <w:t xml:space="preserve">Proposed Site: 600–1,000 Hectares   |   Estimated Investment: US$1.5–2.5 Billion</w:t>
      </w:r>
    </w:p>
    <w:p>
      <w:pPr>
        <w:spacing w:after="60" w:before="1400"/>
        <w:jc w:val="center"/>
      </w:pPr>
      <w:r>
        <w:rPr>
          <w:rFonts w:ascii="Georgia" w:cs="Georgia" w:eastAsia="Georgia" w:hAnsi="Georgia"/>
          <w:color w:val="595959"/>
          <w:sz w:val="20"/>
          <w:szCs w:val="20"/>
        </w:rPr>
        <w:t xml:space="preserve">A Funding Proposal Submitted to the</w:t>
      </w:r>
    </w:p>
    <w:p>
      <w:pPr>
        <w:spacing w:after="60"/>
        <w:jc w:val="center"/>
      </w:pPr>
      <w:r>
        <w:rPr>
          <w:rFonts w:ascii="Georgia" w:cs="Georgia" w:eastAsia="Georgia" w:hAnsi="Georgia"/>
          <w:b/>
          <w:bCs/>
          <w:color w:val="1F3B57"/>
          <w:sz w:val="26"/>
          <w:szCs w:val="26"/>
        </w:rPr>
        <w:t xml:space="preserve">STATE OF THE AFRICAN DIASPORA (SOAD)</w:t>
      </w:r>
    </w:p>
    <w:p>
      <w:pPr>
        <w:spacing w:after="100"/>
        <w:jc w:val="center"/>
      </w:pPr>
      <w:r>
        <w:rPr>
          <w:rFonts w:ascii="Georgia" w:cs="Georgia" w:eastAsia="Georgia" w:hAnsi="Georgia"/>
          <w:i/>
          <w:iCs/>
          <w:color w:val="8A6D1F"/>
          <w:sz w:val="20"/>
          <w:szCs w:val="20"/>
        </w:rPr>
        <w:t xml:space="preserve">A Flagship Investment of the Sixth Region in the Motherland</w:t>
      </w:r>
    </w:p>
    <w:p>
      <w:pPr>
        <w:jc w:val="center"/>
      </w:pPr>
      <w:r>
        <w:rPr>
          <w:rFonts w:ascii="Georgia" w:cs="Georgia" w:eastAsia="Georgia" w:hAnsi="Georgia"/>
          <w:color w:val="595959"/>
          <w:sz w:val="20"/>
          <w:szCs w:val="20"/>
        </w:rPr>
        <w:t xml:space="preserve">July 2026  |  Strictly Confidential</w:t>
      </w:r>
    </w:p>
    <w:p>
      <w:r>
        <w:br w:type="page"/>
      </w:r>
    </w:p>
    <w:p>
      <w:pPr>
        <w:spacing w:after="200"/>
      </w:pPr>
      <w:r>
        <w:rPr>
          <w:rFonts w:ascii="Georgia" w:cs="Georgia" w:eastAsia="Georgia" w:hAnsi="Georgia"/>
          <w:b/>
          <w:bCs/>
          <w:color w:val="1F3B57"/>
          <w:sz w:val="30"/>
          <w:szCs w:val="30"/>
        </w:rPr>
        <w:t xml:space="preserve">Contents</w:t>
      </w:r>
    </w:p>
    <w:p>
      <w:pPr>
        <w:tabs>
          <w:tab w:val="right" w:pos="9350" w:leader="dot"/>
        </w:tabs>
        <w:spacing w:after="80" w:before="0"/>
      </w:pPr>
      <w:r>
        <w:rPr>
          <w:rFonts w:ascii="Georgia" w:cs="Georgia" w:eastAsia="Georgia" w:hAnsi="Georgia"/>
          <w:b w:val="false"/>
          <w:bCs w:val="false"/>
          <w:color w:val="000000"/>
          <w:sz w:val="22"/>
          <w:szCs w:val="22"/>
        </w:rPr>
        <w:t xml:space="preserve">1. Introduction and Vision</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2. Alignment with the Mandate of the State of the African Diaspora</w:t>
      </w:r>
      <w:r>
        <w:rPr>
          <w:rFonts w:ascii="Georgia" w:cs="Georgia" w:eastAsia="Georgia" w:hAnsi="Georgia"/>
          <w:color w:val="595959"/>
          <w:sz w:val="22"/>
          <w:szCs w:val="22"/>
        </w:rPr>
        <w:t xml:space="preserve">	4</w:t>
      </w:r>
    </w:p>
    <w:p>
      <w:pPr>
        <w:tabs>
          <w:tab w:val="right" w:pos="9350" w:leader="dot"/>
        </w:tabs>
        <w:spacing w:after="80" w:before="0"/>
      </w:pPr>
      <w:r>
        <w:rPr>
          <w:rFonts w:ascii="Georgia" w:cs="Georgia" w:eastAsia="Georgia" w:hAnsi="Georgia"/>
          <w:b w:val="false"/>
          <w:bCs w:val="false"/>
          <w:color w:val="000000"/>
          <w:sz w:val="22"/>
          <w:szCs w:val="22"/>
        </w:rPr>
        <w:t xml:space="preserve">3. Project Overview</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4. Strategic Rationale and Market Opportunity</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5. The Medical Master Plan</w:t>
      </w:r>
      <w:r>
        <w:rPr>
          <w:rFonts w:ascii="Georgia" w:cs="Georgia" w:eastAsia="Georgia" w:hAnsi="Georgia"/>
          <w:color w:val="595959"/>
          <w:sz w:val="22"/>
          <w:szCs w:val="22"/>
        </w:rPr>
        <w:t xml:space="preserve">	7</w:t>
      </w:r>
    </w:p>
    <w:p>
      <w:pPr>
        <w:tabs>
          <w:tab w:val="right" w:pos="9350" w:leader="dot"/>
        </w:tabs>
        <w:spacing w:after="80" w:before="0"/>
      </w:pPr>
      <w:r>
        <w:rPr>
          <w:rFonts w:ascii="Georgia" w:cs="Georgia" w:eastAsia="Georgia" w:hAnsi="Georgia"/>
          <w:b w:val="false"/>
          <w:bCs w:val="false"/>
          <w:color w:val="000000"/>
          <w:sz w:val="22"/>
          <w:szCs w:val="22"/>
        </w:rPr>
        <w:t xml:space="preserve">6. The Community Health Endowment Fund</w:t>
      </w:r>
      <w:r>
        <w:rPr>
          <w:rFonts w:ascii="Georgia" w:cs="Georgia" w:eastAsia="Georgia" w:hAnsi="Georgia"/>
          <w:color w:val="595959"/>
          <w:sz w:val="22"/>
          <w:szCs w:val="22"/>
        </w:rPr>
        <w:t xml:space="preserve">	9</w:t>
      </w:r>
    </w:p>
    <w:p>
      <w:pPr>
        <w:tabs>
          <w:tab w:val="right" w:pos="9350" w:leader="dot"/>
        </w:tabs>
        <w:spacing w:after="80" w:before="0"/>
      </w:pPr>
      <w:r>
        <w:rPr>
          <w:rFonts w:ascii="Georgia" w:cs="Georgia" w:eastAsia="Georgia" w:hAnsi="Georgia"/>
          <w:b w:val="false"/>
          <w:bCs w:val="false"/>
          <w:color w:val="000000"/>
          <w:sz w:val="22"/>
          <w:szCs w:val="22"/>
        </w:rPr>
        <w:t xml:space="preserve">7. Digital Health, Smart City and Sustainability Strategy</w:t>
      </w:r>
      <w:r>
        <w:rPr>
          <w:rFonts w:ascii="Georgia" w:cs="Georgia" w:eastAsia="Georgia" w:hAnsi="Georgia"/>
          <w:color w:val="595959"/>
          <w:sz w:val="22"/>
          <w:szCs w:val="22"/>
        </w:rPr>
        <w:t xml:space="preserve">	9</w:t>
      </w:r>
    </w:p>
    <w:p>
      <w:pPr>
        <w:tabs>
          <w:tab w:val="right" w:pos="9350" w:leader="dot"/>
        </w:tabs>
        <w:spacing w:after="80" w:before="0"/>
      </w:pPr>
      <w:r>
        <w:rPr>
          <w:rFonts w:ascii="Georgia" w:cs="Georgia" w:eastAsia="Georgia" w:hAnsi="Georgia"/>
          <w:b w:val="false"/>
          <w:bCs w:val="false"/>
          <w:color w:val="000000"/>
          <w:sz w:val="22"/>
          <w:szCs w:val="22"/>
        </w:rPr>
        <w:t xml:space="preserve">8. Financial Highlights and the Diaspora Funding Architecture</w:t>
      </w:r>
      <w:r>
        <w:rPr>
          <w:rFonts w:ascii="Georgia" w:cs="Georgia" w:eastAsia="Georgia" w:hAnsi="Georgia"/>
          <w:color w:val="595959"/>
          <w:sz w:val="22"/>
          <w:szCs w:val="22"/>
        </w:rPr>
        <w:t xml:space="preserve">	10</w:t>
      </w:r>
    </w:p>
    <w:p>
      <w:pPr>
        <w:tabs>
          <w:tab w:val="right" w:pos="9350" w:leader="dot"/>
        </w:tabs>
        <w:spacing w:after="80" w:before="0"/>
      </w:pPr>
      <w:r>
        <w:rPr>
          <w:rFonts w:ascii="Georgia" w:cs="Georgia" w:eastAsia="Georgia" w:hAnsi="Georgia"/>
          <w:b w:val="false"/>
          <w:bCs w:val="false"/>
          <w:color w:val="000000"/>
          <w:sz w:val="22"/>
          <w:szCs w:val="22"/>
        </w:rPr>
        <w:t xml:space="preserve">9. Delivery Model: Public–Private–Diaspora Partnership and Governance</w:t>
      </w:r>
      <w:r>
        <w:rPr>
          <w:rFonts w:ascii="Georgia" w:cs="Georgia" w:eastAsia="Georgia" w:hAnsi="Georgia"/>
          <w:color w:val="595959"/>
          <w:sz w:val="22"/>
          <w:szCs w:val="22"/>
        </w:rPr>
        <w:t xml:space="preserve">	12</w:t>
      </w:r>
    </w:p>
    <w:p>
      <w:pPr>
        <w:tabs>
          <w:tab w:val="right" w:pos="9350" w:leader="dot"/>
        </w:tabs>
        <w:spacing w:after="80" w:before="0"/>
      </w:pPr>
      <w:r>
        <w:rPr>
          <w:rFonts w:ascii="Georgia" w:cs="Georgia" w:eastAsia="Georgia" w:hAnsi="Georgia"/>
          <w:b w:val="false"/>
          <w:bCs w:val="false"/>
          <w:color w:val="000000"/>
          <w:sz w:val="22"/>
          <w:szCs w:val="22"/>
        </w:rPr>
        <w:t xml:space="preserve">10. Economic, Social and Diaspora Impact</w:t>
      </w:r>
      <w:r>
        <w:rPr>
          <w:rFonts w:ascii="Georgia" w:cs="Georgia" w:eastAsia="Georgia" w:hAnsi="Georgia"/>
          <w:color w:val="595959"/>
          <w:sz w:val="22"/>
          <w:szCs w:val="22"/>
        </w:rPr>
        <w:t xml:space="preserve">	13</w:t>
      </w:r>
    </w:p>
    <w:p>
      <w:pPr>
        <w:tabs>
          <w:tab w:val="right" w:pos="9350" w:leader="dot"/>
        </w:tabs>
        <w:spacing w:after="80" w:before="0"/>
      </w:pPr>
      <w:r>
        <w:rPr>
          <w:rFonts w:ascii="Georgia" w:cs="Georgia" w:eastAsia="Georgia" w:hAnsi="Georgia"/>
          <w:b w:val="false"/>
          <w:bCs w:val="false"/>
          <w:color w:val="000000"/>
          <w:sz w:val="22"/>
          <w:szCs w:val="22"/>
        </w:rPr>
        <w:t xml:space="preserve">11. Risk Analysis and Mitigation</w:t>
      </w:r>
      <w:r>
        <w:rPr>
          <w:rFonts w:ascii="Georgia" w:cs="Georgia" w:eastAsia="Georgia" w:hAnsi="Georgia"/>
          <w:color w:val="595959"/>
          <w:sz w:val="22"/>
          <w:szCs w:val="22"/>
        </w:rPr>
        <w:t xml:space="preserve">	14</w:t>
      </w:r>
    </w:p>
    <w:p>
      <w:pPr>
        <w:tabs>
          <w:tab w:val="right" w:pos="9350" w:leader="dot"/>
        </w:tabs>
        <w:spacing w:after="80" w:before="0"/>
      </w:pPr>
      <w:r>
        <w:rPr>
          <w:rFonts w:ascii="Georgia" w:cs="Georgia" w:eastAsia="Georgia" w:hAnsi="Georgia"/>
          <w:b w:val="false"/>
          <w:bCs w:val="false"/>
          <w:color w:val="000000"/>
          <w:sz w:val="22"/>
          <w:szCs w:val="22"/>
        </w:rPr>
        <w:t xml:space="preserve">12. Implementation Roadmap and Phasing</w:t>
      </w:r>
      <w:r>
        <w:rPr>
          <w:rFonts w:ascii="Georgia" w:cs="Georgia" w:eastAsia="Georgia" w:hAnsi="Georgia"/>
          <w:color w:val="595959"/>
          <w:sz w:val="22"/>
          <w:szCs w:val="22"/>
        </w:rPr>
        <w:t xml:space="preserve">	15</w:t>
      </w:r>
    </w:p>
    <w:p>
      <w:pPr>
        <w:tabs>
          <w:tab w:val="right" w:pos="9350" w:leader="dot"/>
        </w:tabs>
        <w:spacing w:after="80" w:before="0"/>
      </w:pPr>
      <w:r>
        <w:rPr>
          <w:rFonts w:ascii="Georgia" w:cs="Georgia" w:eastAsia="Georgia" w:hAnsi="Georgia"/>
          <w:b w:val="false"/>
          <w:bCs w:val="false"/>
          <w:color w:val="000000"/>
          <w:sz w:val="22"/>
          <w:szCs w:val="22"/>
        </w:rPr>
        <w:t xml:space="preserve">13. The Call to the Sixth Region</w:t>
      </w:r>
      <w:r>
        <w:rPr>
          <w:rFonts w:ascii="Georgia" w:cs="Georgia" w:eastAsia="Georgia" w:hAnsi="Georgia"/>
          <w:color w:val="595959"/>
          <w:sz w:val="22"/>
          <w:szCs w:val="22"/>
        </w:rPr>
        <w:t xml:space="preserve">	16</w:t>
      </w:r>
    </w:p>
    <w:p>
      <w:r>
        <w:br w:type="page"/>
      </w:r>
    </w:p>
    <w:p>
      <w:pPr>
        <w:pStyle w:val="Heading1"/>
        <w:spacing w:after="200" w:before="360"/>
      </w:pPr>
      <w:r>
        <w:rPr>
          <w:rFonts w:ascii="Georgia" w:cs="Georgia" w:eastAsia="Georgia" w:hAnsi="Georgia"/>
          <w:b/>
          <w:bCs/>
          <w:color w:val="1F3B57"/>
          <w:sz w:val="30"/>
          <w:szCs w:val="30"/>
        </w:rPr>
        <w:t xml:space="preserve">1. Introduction and Vision</w:t>
      </w:r>
    </w:p>
    <w:p>
      <w:pPr>
        <w:spacing w:after="160" w:line="276"/>
        <w:jc w:val="both"/>
      </w:pPr>
      <w:r>
        <w:rPr>
          <w:rFonts w:ascii="Georgia" w:cs="Georgia" w:eastAsia="Georgia" w:hAnsi="Georgia"/>
          <w:sz w:val="22"/>
          <w:szCs w:val="22"/>
        </w:rPr>
        <w:t xml:space="preserve">The Nigeria Medicare City (NMC) is a proposed integrated healthcare, research, education and wellness city to be developed on 600–1,000 hectares of land in the Federal Capital Territory (Abuja), the seat of government of the Federal Republic of Nigeria, with an estimated total development cost of US$1.5–2.5 billion delivered in phases over 10–15 years. This proposal is respectfully submitted to the State of the African Diaspora (SOAD) as a flagship funding and partnership opportunity: a project through which the Sixth Region of Africa builds, owns and operates world-class health infrastructure in the Motherland.</w:t>
      </w:r>
    </w:p>
    <w:p>
      <w:pPr>
        <w:spacing w:after="160" w:line="276"/>
        <w:jc w:val="both"/>
      </w:pPr>
      <w:r>
        <w:rPr>
          <w:rFonts w:ascii="Georgia" w:cs="Georgia" w:eastAsia="Georgia" w:hAnsi="Georgia"/>
          <w:sz w:val="22"/>
          <w:szCs w:val="22"/>
        </w:rPr>
        <w:t xml:space="preserve">For generations, the African Diaspora has sent remittances home to pay hospital bills abroad — financing the very medical exile that drains the continent of foreign exchange, clinical capability and dignity. NMC inverts that equation. It offers the Diaspora, through SOAD, the opportunity to convert scattered remittances into concentrated, income-producing, legacy-building capital: a single city of healing where Diaspora physicians practise, Diaspora investors earn, Diaspora students train, and African patients — continental and Diasporan alike — receive care of international standard without boarding a plane to another continent.</w:t>
      </w:r>
    </w:p>
    <w:p>
      <w:pPr>
        <w:spacing w:after="160" w:line="276"/>
        <w:jc w:val="both"/>
      </w:pPr>
      <w:r>
        <w:rPr>
          <w:rFonts w:ascii="Georgia" w:cs="Georgia" w:eastAsia="Georgia" w:hAnsi="Georgia"/>
          <w:sz w:val="22"/>
          <w:szCs w:val="22"/>
        </w:rPr>
        <w:t xml:space="preserve">NMC is designed not as a hospital with amenities, but as a self-sustaining health economy. A 1,000-bed tertiary teaching hospital and fifteen-plus specialty institutes anchor the campus; an academic health sciences complex multiplies its human capital; hospitality, retail and residential districts capture the full value chain of medical travel; a ring-fenced Community Health Endowment guarantees care for the vulnerable; and renewable energy, water recycling and digital infrastructure make the village resilient, efficient and climate-aligned. It is, in every dimension, the kind of sustainable eco-city that SOAD has declared central to its mission in Africa and the Diaspora.</w:t>
      </w:r>
    </w:p>
    <w:p>
      <w:pPr>
        <w:pStyle w:val="Heading2"/>
        <w:spacing w:after="140" w:before="260"/>
      </w:pPr>
      <w:r>
        <w:rPr>
          <w:rFonts w:ascii="Georgia" w:cs="Georgia" w:eastAsia="Georgia" w:hAnsi="Georgia"/>
          <w:b/>
          <w:bCs/>
          <w:color w:val="8A6D1F"/>
          <w:sz w:val="25"/>
          <w:szCs w:val="25"/>
        </w:rPr>
        <w:t xml:space="preserve">1.1 Mission Statement</w:t>
      </w:r>
    </w:p>
    <w:p>
      <w:pPr>
        <w:spacing w:after="160" w:line="276"/>
        <w:jc w:val="both"/>
      </w:pPr>
      <w:r>
        <w:rPr>
          <w:rFonts w:ascii="Georgia" w:cs="Georgia" w:eastAsia="Georgia" w:hAnsi="Georgia"/>
          <w:sz w:val="22"/>
          <w:szCs w:val="22"/>
        </w:rPr>
        <w:t xml:space="preserve">To unite the capital, expertise and love of the African Diaspora with the land and people of Africa, in order to deliver internationally accredited, compassionate and affordable healthcare; to educate and inspire Africa's health workforce; to advance research and innovation for African health challenges; and to demonstrate a replicable, Diaspora-owned model of sustainable health cities across the continent.</w:t>
      </w:r>
    </w:p>
    <w:p>
      <w:pPr>
        <w:pStyle w:val="Heading2"/>
        <w:spacing w:after="140" w:before="260"/>
      </w:pPr>
      <w:r>
        <w:rPr>
          <w:rFonts w:ascii="Georgia" w:cs="Georgia" w:eastAsia="Georgia" w:hAnsi="Georgia"/>
          <w:b/>
          <w:bCs/>
          <w:color w:val="8A6D1F"/>
          <w:sz w:val="25"/>
          <w:szCs w:val="25"/>
        </w:rPr>
        <w:t xml:space="preserve">1.2 Strategic Objectives</w:t>
      </w:r>
    </w:p>
    <w:p>
      <w:pPr>
        <w:pStyle w:val="ListParagraph"/>
        <w:numPr>
          <w:ilvl w:val="0"/>
          <w:numId w:val="2"/>
        </w:numPr>
        <w:spacing w:after="100" w:line="264"/>
        <w:jc w:val="both"/>
      </w:pPr>
      <w:r>
        <w:rPr>
          <w:rFonts w:ascii="Georgia" w:cs="Georgia" w:eastAsia="Georgia" w:hAnsi="Georgia"/>
          <w:b/>
          <w:bCs/>
          <w:sz w:val="22"/>
          <w:szCs w:val="22"/>
        </w:rPr>
        <w:t xml:space="preserve">Clinical excellence — </w:t>
      </w:r>
      <w:r>
        <w:rPr>
          <w:rFonts w:ascii="Georgia" w:cs="Georgia" w:eastAsia="Georgia" w:hAnsi="Georgia"/>
          <w:sz w:val="22"/>
          <w:szCs w:val="22"/>
        </w:rPr>
        <w:t xml:space="preserve">Establish a JCI-accreditable tertiary and quaternary care destination serving Nigeria, West Africa and the global African Diaspora.</w:t>
      </w:r>
    </w:p>
    <w:p>
      <w:pPr>
        <w:pStyle w:val="ListParagraph"/>
        <w:numPr>
          <w:ilvl w:val="0"/>
          <w:numId w:val="2"/>
        </w:numPr>
        <w:spacing w:after="100" w:line="264"/>
        <w:jc w:val="both"/>
      </w:pPr>
      <w:r>
        <w:rPr>
          <w:rFonts w:ascii="Georgia" w:cs="Georgia" w:eastAsia="Georgia" w:hAnsi="Georgia"/>
          <w:b/>
          <w:bCs/>
          <w:sz w:val="22"/>
          <w:szCs w:val="22"/>
        </w:rPr>
        <w:t xml:space="preserve">Medical repatriation — </w:t>
      </w:r>
      <w:r>
        <w:rPr>
          <w:rFonts w:ascii="Georgia" w:cs="Georgia" w:eastAsia="Georgia" w:hAnsi="Georgia"/>
          <w:sz w:val="22"/>
          <w:szCs w:val="22"/>
        </w:rPr>
        <w:t xml:space="preserve">Reverse the outbound flow of medical tourism by offering transplant, oncology, cardiac, neuroscience and orthopaedic services of international standard at regionally competitive prices — care by Africans, for Africans, in Africa.</w:t>
      </w:r>
    </w:p>
    <w:p>
      <w:pPr>
        <w:pStyle w:val="ListParagraph"/>
        <w:numPr>
          <w:ilvl w:val="0"/>
          <w:numId w:val="2"/>
        </w:numPr>
        <w:spacing w:after="100" w:line="264"/>
        <w:jc w:val="both"/>
      </w:pPr>
      <w:r>
        <w:rPr>
          <w:rFonts w:ascii="Georgia" w:cs="Georgia" w:eastAsia="Georgia" w:hAnsi="Georgia"/>
          <w:b/>
          <w:bCs/>
          <w:sz w:val="22"/>
          <w:szCs w:val="22"/>
        </w:rPr>
        <w:t xml:space="preserve">Diaspora capital mobilization — </w:t>
      </w:r>
      <w:r>
        <w:rPr>
          <w:rFonts w:ascii="Georgia" w:cs="Georgia" w:eastAsia="Georgia" w:hAnsi="Georgia"/>
          <w:sz w:val="22"/>
          <w:szCs w:val="22"/>
        </w:rPr>
        <w:t xml:space="preserve">Create a structured, SOAD-endorsed channel through which Diaspora capital — bonds, equity, endowment gifts — flows into a bankable, income-producing African asset with transparent governance.</w:t>
      </w:r>
    </w:p>
    <w:p>
      <w:pPr>
        <w:pStyle w:val="ListParagraph"/>
        <w:numPr>
          <w:ilvl w:val="0"/>
          <w:numId w:val="2"/>
        </w:numPr>
        <w:spacing w:after="100" w:line="264"/>
        <w:jc w:val="both"/>
      </w:pPr>
      <w:r>
        <w:rPr>
          <w:rFonts w:ascii="Georgia" w:cs="Georgia" w:eastAsia="Georgia" w:hAnsi="Georgia"/>
          <w:b/>
          <w:bCs/>
          <w:sz w:val="22"/>
          <w:szCs w:val="22"/>
        </w:rPr>
        <w:t xml:space="preserve">Diaspora talent return — </w:t>
      </w:r>
      <w:r>
        <w:rPr>
          <w:rFonts w:ascii="Georgia" w:cs="Georgia" w:eastAsia="Georgia" w:hAnsi="Georgia"/>
          <w:sz w:val="22"/>
          <w:szCs w:val="22"/>
        </w:rPr>
        <w:t xml:space="preserve">Provide a professional homecoming platform for Diaspora physicians, nurses, scientists and health executives through permanent, rotational and telemedicine-based service models.</w:t>
      </w:r>
    </w:p>
    <w:p>
      <w:pPr>
        <w:pStyle w:val="ListParagraph"/>
        <w:numPr>
          <w:ilvl w:val="0"/>
          <w:numId w:val="2"/>
        </w:numPr>
        <w:spacing w:after="100" w:line="264"/>
        <w:jc w:val="both"/>
      </w:pPr>
      <w:r>
        <w:rPr>
          <w:rFonts w:ascii="Georgia" w:cs="Georgia" w:eastAsia="Georgia" w:hAnsi="Georgia"/>
          <w:b/>
          <w:bCs/>
          <w:sz w:val="22"/>
          <w:szCs w:val="22"/>
        </w:rPr>
        <w:t xml:space="preserve">Workforce development — </w:t>
      </w:r>
      <w:r>
        <w:rPr>
          <w:rFonts w:ascii="Georgia" w:cs="Georgia" w:eastAsia="Georgia" w:hAnsi="Georgia"/>
          <w:sz w:val="22"/>
          <w:szCs w:val="22"/>
        </w:rPr>
        <w:t xml:space="preserve">Graduate physicians, nurses, allied health professionals and biomedical engineers at scale, with reserved places and scholarships for Diaspora youth.</w:t>
      </w:r>
    </w:p>
    <w:p>
      <w:pPr>
        <w:pStyle w:val="ListParagraph"/>
        <w:numPr>
          <w:ilvl w:val="0"/>
          <w:numId w:val="2"/>
        </w:numPr>
        <w:spacing w:after="100" w:line="264"/>
        <w:jc w:val="both"/>
      </w:pPr>
      <w:r>
        <w:rPr>
          <w:rFonts w:ascii="Georgia" w:cs="Georgia" w:eastAsia="Georgia" w:hAnsi="Georgia"/>
          <w:b/>
          <w:bCs/>
          <w:sz w:val="22"/>
          <w:szCs w:val="22"/>
        </w:rPr>
        <w:t xml:space="preserve">Research leadership — </w:t>
      </w:r>
      <w:r>
        <w:rPr>
          <w:rFonts w:ascii="Georgia" w:cs="Georgia" w:eastAsia="Georgia" w:hAnsi="Georgia"/>
          <w:sz w:val="22"/>
          <w:szCs w:val="22"/>
        </w:rPr>
        <w:t xml:space="preserve">Host Africa-relevant clinical trials, genomics, precision medicine and AI research through a dedicated Research and Grants Institute and biotechnology incubator.</w:t>
      </w:r>
    </w:p>
    <w:p>
      <w:pPr>
        <w:pStyle w:val="ListParagraph"/>
        <w:numPr>
          <w:ilvl w:val="0"/>
          <w:numId w:val="2"/>
        </w:numPr>
        <w:spacing w:after="100" w:line="264"/>
        <w:jc w:val="both"/>
      </w:pPr>
      <w:r>
        <w:rPr>
          <w:rFonts w:ascii="Georgia" w:cs="Georgia" w:eastAsia="Georgia" w:hAnsi="Georgia"/>
          <w:b/>
          <w:bCs/>
          <w:sz w:val="22"/>
          <w:szCs w:val="22"/>
        </w:rPr>
        <w:t xml:space="preserve">Equity and inclusion — </w:t>
      </w:r>
      <w:r>
        <w:rPr>
          <w:rFonts w:ascii="Georgia" w:cs="Georgia" w:eastAsia="Georgia" w:hAnsi="Georgia"/>
          <w:sz w:val="22"/>
          <w:szCs w:val="22"/>
        </w:rPr>
        <w:t xml:space="preserve">Fund subsidized care for vulnerable host-community populations through an international-patient levy, a share of campus commercial income and Diaspora giving, channelled into a Community Health Endowment Fund.</w:t>
      </w:r>
    </w:p>
    <w:p>
      <w:pPr>
        <w:pStyle w:val="ListParagraph"/>
        <w:numPr>
          <w:ilvl w:val="0"/>
          <w:numId w:val="2"/>
        </w:numPr>
        <w:spacing w:after="100" w:line="264"/>
        <w:jc w:val="both"/>
      </w:pPr>
      <w:r>
        <w:rPr>
          <w:rFonts w:ascii="Georgia" w:cs="Georgia" w:eastAsia="Georgia" w:hAnsi="Georgia"/>
          <w:b/>
          <w:bCs/>
          <w:sz w:val="22"/>
          <w:szCs w:val="22"/>
        </w:rPr>
        <w:t xml:space="preserve">Sustainability — </w:t>
      </w:r>
      <w:r>
        <w:rPr>
          <w:rFonts w:ascii="Georgia" w:cs="Georgia" w:eastAsia="Georgia" w:hAnsi="Georgia"/>
          <w:sz w:val="22"/>
          <w:szCs w:val="22"/>
        </w:rPr>
        <w:t xml:space="preserve">Operate a carbon-conscious campus powered substantially by solar generation with battery storage, water recycling and circular waste management, consistent with SOAD's climate-justice commitments.</w:t>
      </w:r>
    </w:p>
    <w:p>
      <w:pPr>
        <w:pStyle w:val="Heading1"/>
        <w:spacing w:after="200" w:before="360"/>
      </w:pPr>
      <w:r>
        <w:rPr>
          <w:rFonts w:ascii="Georgia" w:cs="Georgia" w:eastAsia="Georgia" w:hAnsi="Georgia"/>
          <w:b/>
          <w:bCs/>
          <w:color w:val="1F3B57"/>
          <w:sz w:val="30"/>
          <w:szCs w:val="30"/>
        </w:rPr>
        <w:t xml:space="preserve">2. Alignment with the Mandate of the State of the African Diaspora</w:t>
      </w:r>
    </w:p>
    <w:p>
      <w:pPr>
        <w:spacing w:after="160" w:line="276"/>
        <w:jc w:val="both"/>
      </w:pPr>
      <w:r>
        <w:rPr>
          <w:rFonts w:ascii="Georgia" w:cs="Georgia" w:eastAsia="Georgia" w:hAnsi="Georgia"/>
          <w:sz w:val="22"/>
          <w:szCs w:val="22"/>
        </w:rPr>
        <w:t xml:space="preserve">NMC is not merely compatible with SOAD's mission — it is a physical expression of it. Each pillar of SOAD's declared program finds its fulfilment within the village gates: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600"/>
        <w:gridCol w:w="6000"/>
      </w:tblGrid>
      <w:tr>
        <w:tc>
          <w:tcPr>
            <w:tcW w:type="dxa" w:w="3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SOAD Program Pillar</w:t>
            </w:r>
          </w:p>
        </w:tc>
        <w:tc>
          <w:tcPr>
            <w:tcW w:type="dxa" w:w="6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NMC Delivery</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Sustainable eco-cities in Africa and the Diaspora</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master-planned, carbon-conscious smart city of 600–1,000 hectares — renewable energy park, recycled water, circular waste, green belts and lakes — purpose-built as a demonstration eco-city for the continent</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Health and wellbeing of Africans and Afro-descendants</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1,000-bed teaching hospital, 15+ specialty institutes, telemedicine command centre reaching Diaspora communities worldwide, and an Endowment Fund guaranteeing care for the indigent</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Women's, maternal and family health</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Mother &amp; Child, Women's Health and Children's hospitals at the heart of the campus — delivered in partnership with the Office of the Wife of the President of the Federal Republic of Nigeria</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Education and human capital</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nursing and allied health schools with Diaspora scholarships, exchange programmes and simulation-based training</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Decentralized cooperation and twinning</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Institutional twinning between NMC and Diaspora hospitals, universities and municipalities under SOAD's twinning policy</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Economic empowerment and investment</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structured Diaspora investment platform (bonds, equity, endowment) converting remittances into productive, income-yielding African assets</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Climate justice and the SDGs</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Direct delivery against SDG 3 (health), SDG 2 (food), SDG 4 (education), SDG 7 (clean energy), SDG 8 (jobs), SDG 9 (infrastructure) and SDG 13 (climate action)</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Pan-African institutional partnership</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flagship project suitable for joint advocacy under SOAD's cooperation frameworks with continental institutions, including its Memorandum of Understanding with the Pan-African Parliament</w:t>
            </w:r>
          </w:p>
        </w:tc>
      </w:tr>
    </w:tbl>
    <w:p>
      <w:pPr>
        <w:spacing w:after="120"/>
      </w:pPr>
    </w:p>
    <w:p>
      <w:pPr>
        <w:spacing w:after="160" w:line="276"/>
        <w:jc w:val="both"/>
      </w:pPr>
      <w:r>
        <w:rPr>
          <w:rFonts w:ascii="Georgia" w:cs="Georgia" w:eastAsia="Georgia" w:hAnsi="Georgia"/>
          <w:sz w:val="22"/>
          <w:szCs w:val="22"/>
        </w:rPr>
        <w:t xml:space="preserve">For SOAD, NMC offers what every institution representing the Sixth Region ultimately requires: a landmark, visible, operating achievement on African soil — a place its citizens can visit, invest in, work in, be healed in, and point to as proof that the Diaspora builds.</w:t>
      </w:r>
    </w:p>
    <w:p>
      <w:pPr>
        <w:pStyle w:val="Heading1"/>
        <w:spacing w:after="200" w:before="360"/>
      </w:pPr>
      <w:r>
        <w:rPr>
          <w:rFonts w:ascii="Georgia" w:cs="Georgia" w:eastAsia="Georgia" w:hAnsi="Georgia"/>
          <w:b/>
          <w:bCs/>
          <w:color w:val="1F3B57"/>
          <w:sz w:val="30"/>
          <w:szCs w:val="30"/>
        </w:rPr>
        <w:t xml:space="preserve">3. Project Overview</w:t>
      </w:r>
    </w:p>
    <w:p>
      <w:pPr>
        <w:pStyle w:val="Heading2"/>
        <w:spacing w:after="140" w:before="260"/>
      </w:pPr>
      <w:r>
        <w:rPr>
          <w:rFonts w:ascii="Georgia" w:cs="Georgia" w:eastAsia="Georgia" w:hAnsi="Georgia"/>
          <w:b/>
          <w:bCs/>
          <w:color w:val="8A6D1F"/>
          <w:sz w:val="25"/>
          <w:szCs w:val="25"/>
        </w:rPr>
        <w:t xml:space="preserve">3.1 Location and Site</w:t>
      </w:r>
    </w:p>
    <w:p>
      <w:pPr>
        <w:spacing w:after="160" w:line="276"/>
        <w:jc w:val="both"/>
      </w:pPr>
      <w:r>
        <w:rPr>
          <w:rFonts w:ascii="Georgia" w:cs="Georgia" w:eastAsia="Georgia" w:hAnsi="Georgia"/>
          <w:sz w:val="22"/>
          <w:szCs w:val="22"/>
        </w:rPr>
        <w:t xml:space="preserve">The Federal Capital Territory is the seat of the Federal Republic and the one address that belongs to every Nigerian. It is served today by Nnamdi Azikiwe International Airport with direct international connections for Diaspora access; every state capital in the federation lies within roughly a two-hour flight; federal land at transformational scale remains available through the FCT Administration; and the diplomatic, ministerial and development-finance community of the capital surrounds the project. Nigeria — home of the largest Black population on Earth and origin of one of the world's largest diasporas — is the natural site for the Diaspora's flagship health city, and its capital is the natural site for the prototype.</w:t>
      </w:r>
    </w:p>
    <w:p>
      <w:pPr>
        <w:pStyle w:val="Heading2"/>
        <w:spacing w:after="140" w:before="260"/>
      </w:pPr>
      <w:r>
        <w:rPr>
          <w:rFonts w:ascii="Georgia" w:cs="Georgia" w:eastAsia="Georgia" w:hAnsi="Georgia"/>
          <w:b/>
          <w:bCs/>
          <w:color w:val="8A6D1F"/>
          <w:sz w:val="25"/>
          <w:szCs w:val="25"/>
        </w:rPr>
        <w:t xml:space="preserve">3.2 Project at a Glance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6400"/>
      </w:tblGrid>
      <w:tr>
        <w:tc>
          <w:tcPr>
            <w:tcW w:type="dxa" w:w="3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Parameter</w:t>
            </w:r>
          </w:p>
        </w:tc>
        <w:tc>
          <w:tcPr>
            <w:tcW w:type="dxa" w:w="6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 name</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 Medicare City (NMC)</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Location</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Abuja, Federal Capital Territory, Nigeria</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Land area</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600–1,000 hectares (master-planned, phased)</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Anchor facility</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800–1,000 bed tertiary teaching hospital</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Specialty institutes</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 centres of excellence (cancer, heart, kidney, trauma, neuroscience, transplant, and more)</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campus</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school, nursing school, allied health institute, simulation centre</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Estimated capital cost</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US$1.5–2.5 billion (phased over 10–15 years)</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Lead funding partner</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State of the African Diaspora (SOAD) — anchor funder and Diaspora capital mobilizer</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Delivery model</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SOAD-anchored Public–Private–Diaspora Partnership (PPDP) with SPV structure</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Development horizon</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 operational within 4–5 years of financial close</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Employment</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Estimated 20,000+ direct jobs and 50,000+ indirect jobs at full build-out</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Distinctives</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ownership and talent-return programmes; Community Health Endowment Fund; smart-city and renewable infrastructure</w:t>
            </w:r>
          </w:p>
        </w:tc>
      </w:tr>
    </w:tbl>
    <w:p>
      <w:pPr>
        <w:spacing w:after="120"/>
      </w:pPr>
    </w:p>
    <w:p>
      <w:pPr>
        <w:pStyle w:val="Heading2"/>
        <w:spacing w:after="140" w:before="260"/>
      </w:pPr>
      <w:r>
        <w:rPr>
          <w:rFonts w:ascii="Georgia" w:cs="Georgia" w:eastAsia="Georgia" w:hAnsi="Georgia"/>
          <w:b/>
          <w:bCs/>
          <w:color w:val="8A6D1F"/>
          <w:sz w:val="25"/>
          <w:szCs w:val="25"/>
        </w:rPr>
        <w:t xml:space="preserve">3.3 The Integrated City Concept</w:t>
      </w:r>
    </w:p>
    <w:p>
      <w:pPr>
        <w:spacing w:after="160" w:line="276"/>
        <w:jc w:val="both"/>
      </w:pPr>
      <w:r>
        <w:rPr>
          <w:rFonts w:ascii="Georgia" w:cs="Georgia" w:eastAsia="Georgia" w:hAnsi="Georgia"/>
          <w:sz w:val="22"/>
          <w:szCs w:val="22"/>
        </w:rPr>
        <w:t xml:space="preserve">NMC comprises six interlocking districts, each with its own revenue logic and each reinforcing the others:</w:t>
      </w:r>
    </w:p>
    <w:p>
      <w:pPr>
        <w:pStyle w:val="ListParagraph"/>
        <w:numPr>
          <w:ilvl w:val="0"/>
          <w:numId w:val="2"/>
        </w:numPr>
        <w:spacing w:after="100" w:line="264"/>
        <w:jc w:val="both"/>
      </w:pPr>
      <w:r>
        <w:rPr>
          <w:rFonts w:ascii="Georgia" w:cs="Georgia" w:eastAsia="Georgia" w:hAnsi="Georgia"/>
          <w:b/>
          <w:bCs/>
          <w:sz w:val="22"/>
          <w:szCs w:val="22"/>
        </w:rPr>
        <w:t xml:space="preserve">1. Medical District — </w:t>
      </w:r>
      <w:r>
        <w:rPr>
          <w:rFonts w:ascii="Georgia" w:cs="Georgia" w:eastAsia="Georgia" w:hAnsi="Georgia"/>
          <w:sz w:val="22"/>
          <w:szCs w:val="22"/>
        </w:rPr>
        <w:t xml:space="preserve">The tertiary teaching hospital, specialty institutes, diagnostics, rehabilitation, dental and eye hospitals, emergency centre with rooftop helipad, and a telemedicine command centre serving the continent and Diaspora communities abroad.</w:t>
      </w:r>
    </w:p>
    <w:p>
      <w:pPr>
        <w:pStyle w:val="ListParagraph"/>
        <w:numPr>
          <w:ilvl w:val="0"/>
          <w:numId w:val="2"/>
        </w:numPr>
        <w:spacing w:after="100" w:line="264"/>
        <w:jc w:val="both"/>
      </w:pPr>
      <w:r>
        <w:rPr>
          <w:rFonts w:ascii="Georgia" w:cs="Georgia" w:eastAsia="Georgia" w:hAnsi="Georgia"/>
          <w:b/>
          <w:bCs/>
          <w:sz w:val="22"/>
          <w:szCs w:val="22"/>
        </w:rPr>
        <w:t xml:space="preserve">2. Academic District — </w:t>
      </w:r>
      <w:r>
        <w:rPr>
          <w:rFonts w:ascii="Georgia" w:cs="Georgia" w:eastAsia="Georgia" w:hAnsi="Georgia"/>
          <w:sz w:val="22"/>
          <w:szCs w:val="22"/>
        </w:rPr>
        <w:t xml:space="preserve">Medical school, nursing school, allied health training institute, medical simulation centre and conference facilities, with Diaspora scholarship and exchange programmes.</w:t>
      </w:r>
    </w:p>
    <w:p>
      <w:pPr>
        <w:pStyle w:val="ListParagraph"/>
        <w:numPr>
          <w:ilvl w:val="0"/>
          <w:numId w:val="2"/>
        </w:numPr>
        <w:spacing w:after="100" w:line="264"/>
        <w:jc w:val="both"/>
      </w:pPr>
      <w:r>
        <w:rPr>
          <w:rFonts w:ascii="Georgia" w:cs="Georgia" w:eastAsia="Georgia" w:hAnsi="Georgia"/>
          <w:b/>
          <w:bCs/>
          <w:sz w:val="22"/>
          <w:szCs w:val="22"/>
        </w:rPr>
        <w:t xml:space="preserve">3. Research and Innovation District — </w:t>
      </w:r>
      <w:r>
        <w:rPr>
          <w:rFonts w:ascii="Georgia" w:cs="Georgia" w:eastAsia="Georgia" w:hAnsi="Georgia"/>
          <w:sz w:val="22"/>
          <w:szCs w:val="22"/>
        </w:rPr>
        <w:t xml:space="preserve">Research and Grants Institute, genomics and precision medicine laboratories, AI Centre for Healthcare, biotechnology incubator, clinical trials hub and innovation accelerator for African and Diaspora health startups.</w:t>
      </w:r>
    </w:p>
    <w:p>
      <w:pPr>
        <w:pStyle w:val="ListParagraph"/>
        <w:numPr>
          <w:ilvl w:val="0"/>
          <w:numId w:val="2"/>
        </w:numPr>
        <w:spacing w:after="100" w:line="264"/>
        <w:jc w:val="both"/>
      </w:pPr>
      <w:r>
        <w:rPr>
          <w:rFonts w:ascii="Georgia" w:cs="Georgia" w:eastAsia="Georgia" w:hAnsi="Georgia"/>
          <w:b/>
          <w:bCs/>
          <w:sz w:val="22"/>
          <w:szCs w:val="22"/>
        </w:rPr>
        <w:t xml:space="preserve">4. Hospitality and Residential District — </w:t>
      </w:r>
      <w:r>
        <w:rPr>
          <w:rFonts w:ascii="Georgia" w:cs="Georgia" w:eastAsia="Georgia" w:hAnsi="Georgia"/>
          <w:sz w:val="22"/>
          <w:szCs w:val="22"/>
        </w:rPr>
        <w:t xml:space="preserve">3-, 4- and 5-star hotels, international guest houses, international physicians' residences, staff housing, shopping centre, banking district, food courts and restaurants — including heritage-tourism accommodation for Diaspora visitors combining medical, wellness and ancestral travel.</w:t>
      </w:r>
    </w:p>
    <w:p>
      <w:pPr>
        <w:pStyle w:val="ListParagraph"/>
        <w:numPr>
          <w:ilvl w:val="0"/>
          <w:numId w:val="2"/>
        </w:numPr>
        <w:spacing w:after="100" w:line="264"/>
        <w:jc w:val="both"/>
      </w:pPr>
      <w:r>
        <w:rPr>
          <w:rFonts w:ascii="Georgia" w:cs="Georgia" w:eastAsia="Georgia" w:hAnsi="Georgia"/>
          <w:b/>
          <w:bCs/>
          <w:sz w:val="22"/>
          <w:szCs w:val="22"/>
        </w:rPr>
        <w:t xml:space="preserve">5. Wellness and Recreation District — </w:t>
      </w:r>
      <w:r>
        <w:rPr>
          <w:rFonts w:ascii="Georgia" w:cs="Georgia" w:eastAsia="Georgia" w:hAnsi="Georgia"/>
          <w:sz w:val="22"/>
          <w:szCs w:val="22"/>
        </w:rPr>
        <w:t xml:space="preserve">Sports village with Olympic-standard athletics track, wellness park, botanical gardens, lakes and green belts, children's playgrounds and preventive health programming.</w:t>
      </w:r>
    </w:p>
    <w:p>
      <w:pPr>
        <w:pStyle w:val="ListParagraph"/>
        <w:numPr>
          <w:ilvl w:val="0"/>
          <w:numId w:val="2"/>
        </w:numPr>
        <w:spacing w:after="100" w:line="264"/>
        <w:jc w:val="both"/>
      </w:pPr>
      <w:r>
        <w:rPr>
          <w:rFonts w:ascii="Georgia" w:cs="Georgia" w:eastAsia="Georgia" w:hAnsi="Georgia"/>
          <w:b/>
          <w:bCs/>
          <w:sz w:val="22"/>
          <w:szCs w:val="22"/>
        </w:rPr>
        <w:t xml:space="preserve">6. Utilities and Smart Infrastructure District — </w:t>
      </w:r>
      <w:r>
        <w:rPr>
          <w:rFonts w:ascii="Georgia" w:cs="Georgia" w:eastAsia="Georgia" w:hAnsi="Georgia"/>
          <w:sz w:val="22"/>
          <w:szCs w:val="22"/>
        </w:rPr>
        <w:t xml:space="preserve">Renewable energy park, water and wastewater treatment, medical waste facility, ICT data centre, central works department, security and fire services, internal electric transit.</w:t>
      </w:r>
    </w:p>
    <w:p>
      <w:pPr>
        <w:pStyle w:val="Heading1"/>
        <w:spacing w:after="200" w:before="360"/>
      </w:pPr>
      <w:r>
        <w:rPr>
          <w:rFonts w:ascii="Georgia" w:cs="Georgia" w:eastAsia="Georgia" w:hAnsi="Georgia"/>
          <w:b/>
          <w:bCs/>
          <w:color w:val="1F3B57"/>
          <w:sz w:val="30"/>
          <w:szCs w:val="30"/>
        </w:rPr>
        <w:t xml:space="preserve">4. Strategic Rationale and Market Opportunity</w:t>
      </w:r>
    </w:p>
    <w:p>
      <w:pPr>
        <w:pStyle w:val="Heading2"/>
        <w:spacing w:after="140" w:before="260"/>
      </w:pPr>
      <w:r>
        <w:rPr>
          <w:rFonts w:ascii="Georgia" w:cs="Georgia" w:eastAsia="Georgia" w:hAnsi="Georgia"/>
          <w:b/>
          <w:bCs/>
          <w:color w:val="8A6D1F"/>
          <w:sz w:val="25"/>
          <w:szCs w:val="25"/>
        </w:rPr>
        <w:t xml:space="preserve">4.1 The Healthcare Gap</w:t>
      </w:r>
    </w:p>
    <w:p>
      <w:pPr>
        <w:spacing w:after="160" w:line="276"/>
        <w:jc w:val="both"/>
      </w:pPr>
      <w:r>
        <w:rPr>
          <w:rFonts w:ascii="Georgia" w:cs="Georgia" w:eastAsia="Georgia" w:hAnsi="Georgia"/>
          <w:sz w:val="22"/>
          <w:szCs w:val="22"/>
        </w:rPr>
        <w:t xml:space="preserve">Nigeria, with a population exceeding 220 million and projected to approach 400 million by 2050, carries one of the world's heaviest dual disease burdens: persistent infectious disease alongside rapidly rising non-communicable disease. Cancer, cardiovascular disease, chronic kidney disease, diabetes and trauma are growing faster than the health system's capacity to respond. The country has a fraction of the hospital beds, specialist physicians, radiotherapy machines, catheterization laboratories, dialysis chairs and transplant programmes that its population demands, and tertiary capacity is concentrated in Lagos and Abuja, leaving vast regions underserved.</w:t>
      </w:r>
    </w:p>
    <w:p>
      <w:pPr>
        <w:pStyle w:val="Heading2"/>
        <w:spacing w:after="140" w:before="260"/>
      </w:pPr>
      <w:r>
        <w:rPr>
          <w:rFonts w:ascii="Georgia" w:cs="Georgia" w:eastAsia="Georgia" w:hAnsi="Georgia"/>
          <w:b/>
          <w:bCs/>
          <w:color w:val="8A6D1F"/>
          <w:sz w:val="25"/>
          <w:szCs w:val="25"/>
        </w:rPr>
        <w:t xml:space="preserve">4.2 The Medical Tourism Outflow — Africa's Reverse Remittance</w:t>
      </w:r>
    </w:p>
    <w:p>
      <w:pPr>
        <w:spacing w:after="160" w:line="276"/>
        <w:jc w:val="both"/>
      </w:pPr>
      <w:r>
        <w:rPr>
          <w:rFonts w:ascii="Georgia" w:cs="Georgia" w:eastAsia="Georgia" w:hAnsi="Georgia"/>
          <w:sz w:val="22"/>
          <w:szCs w:val="22"/>
        </w:rPr>
        <w:t xml:space="preserve">Nigerians are widely estimated to spend on the order of US$1 billion or more annually seeking treatment abroad — principally in India, Egypt, Türkiye, the United Kingdom, the United Arab Emirates and the United States. A painful share of this is financed by Diaspora relatives: remittances sent home with sacrifice, only to flow straight out again to foreign hospitals. This is the Diaspora's reverse remittance — African money, twice exported. Every service line planned for NMC corresponds directly to a leading driver of outbound medical travel. Capturing even a modest share of this demand underwrites the project's core clinical revenues while keeping African wealth in African institutions.</w:t>
      </w:r>
    </w:p>
    <w:p>
      <w:pPr>
        <w:pStyle w:val="Heading2"/>
        <w:spacing w:after="140" w:before="260"/>
      </w:pPr>
      <w:r>
        <w:rPr>
          <w:rFonts w:ascii="Georgia" w:cs="Georgia" w:eastAsia="Georgia" w:hAnsi="Georgia"/>
          <w:b/>
          <w:bCs/>
          <w:color w:val="8A6D1F"/>
          <w:sz w:val="25"/>
          <w:szCs w:val="25"/>
        </w:rPr>
        <w:t xml:space="preserve">4.3 The Diaspora Market Itself</w:t>
      </w:r>
    </w:p>
    <w:p>
      <w:pPr>
        <w:spacing w:after="160" w:line="276"/>
        <w:jc w:val="both"/>
      </w:pPr>
      <w:r>
        <w:rPr>
          <w:rFonts w:ascii="Georgia" w:cs="Georgia" w:eastAsia="Georgia" w:hAnsi="Georgia"/>
          <w:sz w:val="22"/>
          <w:szCs w:val="22"/>
        </w:rPr>
        <w:t xml:space="preserve">The global African Diaspora — over 170 million people of African descent in the Americas, the Caribbean and Europe, alongside tens of millions of recent African emigrants — is itself a patient population, a student population and an investor class. NMC is designed to serve it directly: medical-and-heritage travel packages combining treatment or executive health screening with ancestral tourism; competitive pricing relative to US and European private care for the uninsured and underinsured; reserved training places for Diaspora students; and telemedicine second-opinion services delivered from Abuja to Diaspora households worldwide.</w:t>
      </w:r>
    </w:p>
    <w:p>
      <w:pPr>
        <w:pStyle w:val="Heading2"/>
        <w:spacing w:after="140" w:before="260"/>
      </w:pPr>
      <w:r>
        <w:rPr>
          <w:rFonts w:ascii="Georgia" w:cs="Georgia" w:eastAsia="Georgia" w:hAnsi="Georgia"/>
          <w:b/>
          <w:bCs/>
          <w:color w:val="8A6D1F"/>
          <w:sz w:val="25"/>
          <w:szCs w:val="25"/>
        </w:rPr>
        <w:t xml:space="preserve">4.4 The Regional Opportunity</w:t>
      </w:r>
    </w:p>
    <w:p>
      <w:pPr>
        <w:spacing w:after="160" w:line="276"/>
        <w:jc w:val="both"/>
      </w:pPr>
      <w:r>
        <w:rPr>
          <w:rFonts w:ascii="Georgia" w:cs="Georgia" w:eastAsia="Georgia" w:hAnsi="Georgia"/>
          <w:sz w:val="22"/>
          <w:szCs w:val="22"/>
        </w:rPr>
        <w:t xml:space="preserve">Beyond Nigeria, the ECOWAS region of more than 400 million people has almost no quaternary care destinations. NMC's combination of an international airport corridor, hotel capacity, competitive pricing relative to Gulf and Asian destinations, and cultural and linguistic accessibility positions it to become West Africa's referral destination of choice.</w:t>
      </w:r>
    </w:p>
    <w:p>
      <w:pPr>
        <w:pStyle w:val="Heading2"/>
        <w:spacing w:after="140" w:before="260"/>
      </w:pPr>
      <w:r>
        <w:rPr>
          <w:rFonts w:ascii="Georgia" w:cs="Georgia" w:eastAsia="Georgia" w:hAnsi="Georgia"/>
          <w:b/>
          <w:bCs/>
          <w:color w:val="8A6D1F"/>
          <w:sz w:val="25"/>
          <w:szCs w:val="25"/>
        </w:rPr>
        <w:t xml:space="preserve">4.5 Why the Federal Capital Territory, Why SOAD, Why Now</w:t>
      </w:r>
    </w:p>
    <w:p>
      <w:pPr>
        <w:pStyle w:val="ListParagraph"/>
        <w:numPr>
          <w:ilvl w:val="0"/>
          <w:numId w:val="2"/>
        </w:numPr>
        <w:spacing w:after="100" w:line="264"/>
        <w:jc w:val="both"/>
      </w:pPr>
      <w:r>
        <w:rPr>
          <w:rFonts w:ascii="Georgia" w:cs="Georgia" w:eastAsia="Georgia" w:hAnsi="Georgia"/>
          <w:sz w:val="22"/>
          <w:szCs w:val="22"/>
        </w:rPr>
        <w:t xml:space="preserve">Federal land at transformational scale in the capital territory, an operating international airport, national symbolism no other address can offer, and a federal champion — the Office of the Wife of the President of the Federal Republic of Nigeria — to convene the public side of the partnership.</w:t>
      </w:r>
    </w:p>
    <w:p>
      <w:pPr>
        <w:pStyle w:val="ListParagraph"/>
        <w:numPr>
          <w:ilvl w:val="0"/>
          <w:numId w:val="2"/>
        </w:numPr>
        <w:spacing w:after="100" w:line="264"/>
        <w:jc w:val="both"/>
      </w:pPr>
      <w:r>
        <w:rPr>
          <w:rFonts w:ascii="Georgia" w:cs="Georgia" w:eastAsia="Georgia" w:hAnsi="Georgia"/>
          <w:sz w:val="22"/>
          <w:szCs w:val="22"/>
        </w:rPr>
        <w:t xml:space="preserve">A national policy environment actively promoting PPPs in health, local pharmaceutical manufacturing and reversal of medical tourism.</w:t>
      </w:r>
    </w:p>
    <w:p>
      <w:pPr>
        <w:pStyle w:val="ListParagraph"/>
        <w:numPr>
          <w:ilvl w:val="0"/>
          <w:numId w:val="2"/>
        </w:numPr>
        <w:spacing w:after="100" w:line="264"/>
        <w:jc w:val="both"/>
      </w:pPr>
      <w:r>
        <w:rPr>
          <w:rFonts w:ascii="Georgia" w:cs="Georgia" w:eastAsia="Georgia" w:hAnsi="Georgia"/>
          <w:sz w:val="22"/>
          <w:szCs w:val="22"/>
        </w:rPr>
        <w:t xml:space="preserve">A Diaspora institution — SOAD — now possessing the diplomatic standing, continental partnerships and program mandate (eco-cities, health, education, investment) to anchor precisely this class of project.</w:t>
      </w:r>
    </w:p>
    <w:p>
      <w:pPr>
        <w:pStyle w:val="ListParagraph"/>
        <w:numPr>
          <w:ilvl w:val="0"/>
          <w:numId w:val="2"/>
        </w:numPr>
        <w:spacing w:after="100" w:line="264"/>
        <w:jc w:val="both"/>
      </w:pPr>
      <w:r>
        <w:rPr>
          <w:rFonts w:ascii="Georgia" w:cs="Georgia" w:eastAsia="Georgia" w:hAnsi="Georgia"/>
          <w:sz w:val="22"/>
          <w:szCs w:val="22"/>
        </w:rPr>
        <w:t xml:space="preserve">Demographic momentum: the patient demand of 2035 and beyond must be built for today, and the Diaspora's capital and clinicians are ready now.</w:t>
      </w:r>
    </w:p>
    <w:p>
      <w:pPr>
        <w:pStyle w:val="Heading1"/>
        <w:spacing w:after="200" w:before="360"/>
      </w:pPr>
      <w:r>
        <w:rPr>
          <w:rFonts w:ascii="Georgia" w:cs="Georgia" w:eastAsia="Georgia" w:hAnsi="Georgia"/>
          <w:b/>
          <w:bCs/>
          <w:color w:val="1F3B57"/>
          <w:sz w:val="30"/>
          <w:szCs w:val="30"/>
        </w:rPr>
        <w:t xml:space="preserve">5. The Medical Master Plan</w:t>
      </w:r>
    </w:p>
    <w:p>
      <w:pPr>
        <w:pStyle w:val="Heading2"/>
        <w:spacing w:after="140" w:before="260"/>
      </w:pPr>
      <w:r>
        <w:rPr>
          <w:rFonts w:ascii="Georgia" w:cs="Georgia" w:eastAsia="Georgia" w:hAnsi="Georgia"/>
          <w:b/>
          <w:bCs/>
          <w:color w:val="8A6D1F"/>
          <w:sz w:val="25"/>
          <w:szCs w:val="25"/>
        </w:rPr>
        <w:t xml:space="preserve">5.1 Anchor: The Tertiary Teaching Hospital</w:t>
      </w:r>
    </w:p>
    <w:p>
      <w:pPr>
        <w:spacing w:after="160" w:line="276"/>
        <w:jc w:val="both"/>
      </w:pPr>
      <w:r>
        <w:rPr>
          <w:rFonts w:ascii="Georgia" w:cs="Georgia" w:eastAsia="Georgia" w:hAnsi="Georgia"/>
          <w:sz w:val="22"/>
          <w:szCs w:val="22"/>
        </w:rPr>
        <w:t xml:space="preserve">The heart of NMC is an 800–1,000 bed tertiary teaching hospital, designed to international (JCI-accreditable) standards and organized around specialty institutes that function as semi-autonomous centres of excellence with shared diagnostic, surgical and support platforms. The hospital is fully digital and paperless from day one, with AI-assisted operations, smart wearable patient monitoring, robotics surgery capability and a telemedicine command centre extending its reach across Nigeria, the region and the Diaspora.</w:t>
      </w:r>
    </w:p>
    <w:p>
      <w:pPr>
        <w:pStyle w:val="Heading2"/>
        <w:spacing w:after="140" w:before="260"/>
      </w:pPr>
      <w:r>
        <w:rPr>
          <w:rFonts w:ascii="Georgia" w:cs="Georgia" w:eastAsia="Georgia" w:hAnsi="Georgia"/>
          <w:b/>
          <w:bCs/>
          <w:color w:val="8A6D1F"/>
          <w:sz w:val="25"/>
          <w:szCs w:val="25"/>
        </w:rPr>
        <w:t xml:space="preserve">5.2 Centres of Excellence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800"/>
        <w:gridCol w:w="4800"/>
      </w:tblGrid>
      <w:tr>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Clinical Institutes</w:t>
            </w:r>
          </w:p>
        </w:tc>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Enabling Platforms</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Cancer Institute (with Nuclear Medicine and PET-CT Centres)</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Comprehensive diagnostic laboratories and imaging</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Heart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Robotics Surgery Centre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Kidney Institute and Organ Transplant Centre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and Genomics Centre</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Trauma Centre and Emergency Centre with rooftop helipad</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AI Centre for Healthcare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Neuroscience Institute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Blood Bank and Stem Cell Laboratory</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Orthopaedic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Central Sterile Services Department and medical gas plant</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Mother &amp; Child Hospital; Women's Health Centre; Children's Hospital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Pharmaceutical manufacturing and compounding unit</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Infectious Disease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Biomedical Engineering Centre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Mental Health Centre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Ambulance headquarters and retrieval network</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Dental Hospital, Eye Hospital, Rehabilitation Centre and Physiotherapy Complex</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Simulation Centre</w:t>
            </w:r>
          </w:p>
        </w:tc>
      </w:tr>
    </w:tbl>
    <w:p>
      <w:pPr>
        <w:spacing w:after="120"/>
      </w:pPr>
    </w:p>
    <w:p>
      <w:pPr>
        <w:pStyle w:val="Heading2"/>
        <w:spacing w:after="140" w:before="260"/>
      </w:pPr>
      <w:r>
        <w:rPr>
          <w:rFonts w:ascii="Georgia" w:cs="Georgia" w:eastAsia="Georgia" w:hAnsi="Georgia"/>
          <w:b/>
          <w:bCs/>
          <w:color w:val="8A6D1F"/>
          <w:sz w:val="25"/>
          <w:szCs w:val="25"/>
        </w:rPr>
        <w:t xml:space="preserve">5.3 The Diaspora Medical Corps</w:t>
      </w:r>
    </w:p>
    <w:p>
      <w:pPr>
        <w:spacing w:after="160" w:line="276"/>
        <w:jc w:val="both"/>
      </w:pPr>
      <w:r>
        <w:rPr>
          <w:rFonts w:ascii="Georgia" w:cs="Georgia" w:eastAsia="Georgia" w:hAnsi="Georgia"/>
          <w:sz w:val="22"/>
          <w:szCs w:val="22"/>
        </w:rPr>
        <w:t xml:space="preserve">A defining institution of NMC, established with SOAD, is the Diaspora Medical Corps: a structured programme through which physicians, surgeons, nurses, scientists and health executives of African descent serve the village on permanent relocation, sabbatical rotation, annual mission, or telemedicine appointment. The Corps solves NMC's specialist staffing challenge, gives Diaspora professionals a dignified, well-organized pathway of service in the Motherland, transfers skills to Nigerian trainees, and gives SOAD a living register of its most powerful asset — its health professionals.</w:t>
      </w:r>
    </w:p>
    <w:p>
      <w:pPr>
        <w:pStyle w:val="Heading2"/>
        <w:spacing w:after="140" w:before="260"/>
      </w:pPr>
      <w:r>
        <w:rPr>
          <w:rFonts w:ascii="Georgia" w:cs="Georgia" w:eastAsia="Georgia" w:hAnsi="Georgia"/>
          <w:b/>
          <w:bCs/>
          <w:color w:val="8A6D1F"/>
          <w:sz w:val="25"/>
          <w:szCs w:val="25"/>
        </w:rPr>
        <w:t xml:space="preserve">5.4 Academic Health Sciences Campus</w:t>
      </w:r>
    </w:p>
    <w:p>
      <w:pPr>
        <w:spacing w:after="160" w:line="276"/>
        <w:jc w:val="both"/>
      </w:pPr>
      <w:r>
        <w:rPr>
          <w:rFonts w:ascii="Georgia" w:cs="Georgia" w:eastAsia="Georgia" w:hAnsi="Georgia"/>
          <w:sz w:val="22"/>
          <w:szCs w:val="22"/>
        </w:rPr>
        <w:t xml:space="preserve">Co-located with the hospital are a medical school, a nursing school and an allied health training institute, together with a medical simulation centre and a conference and innovation centre. Target steady-state enrolment across programmes is 3,000–5,000 students, with residency and fellowship programmes across all institutes, reserved admission quotas and scholarships for Diaspora youth, and faculty exchange with Diaspora universities and teaching hospitals under SOAD's twinning policy.</w:t>
      </w:r>
    </w:p>
    <w:p>
      <w:pPr>
        <w:pStyle w:val="Heading2"/>
        <w:spacing w:after="140" w:before="260"/>
      </w:pPr>
      <w:r>
        <w:rPr>
          <w:rFonts w:ascii="Georgia" w:cs="Georgia" w:eastAsia="Georgia" w:hAnsi="Georgia"/>
          <w:b/>
          <w:bCs/>
          <w:color w:val="8A6D1F"/>
          <w:sz w:val="25"/>
          <w:szCs w:val="25"/>
        </w:rPr>
        <w:t xml:space="preserve">5.5 Research and Innovation</w:t>
      </w:r>
    </w:p>
    <w:p>
      <w:pPr>
        <w:spacing w:after="160" w:line="276"/>
        <w:jc w:val="both"/>
      </w:pPr>
      <w:r>
        <w:rPr>
          <w:rFonts w:ascii="Georgia" w:cs="Georgia" w:eastAsia="Georgia" w:hAnsi="Georgia"/>
          <w:sz w:val="22"/>
          <w:szCs w:val="22"/>
        </w:rPr>
        <w:t xml:space="preserve">The Research and Grants Institute coordinates externally funded research across the campus, targeting international grant-makers, industry-sponsored clinical trials and philanthropic funders. The genomics and precision medicine laboratories, the AI Centre for Healthcare, the biotechnology incubator and the innovation accelerator together form an ecosystem in which discoveries move from bench to bedside to business without leaving the village. Research into conditions that disproportionately burden people of African descent worldwide — sickle cell disease, hypertension, prostate cancer, maternal mortality, kidney disease — is a stated scientific priority, making NMC a research home for the global Black world.</w:t>
      </w:r>
    </w:p>
    <w:p>
      <w:pPr>
        <w:pStyle w:val="Heading1"/>
        <w:spacing w:after="200" w:before="360"/>
      </w:pPr>
      <w:r>
        <w:rPr>
          <w:rFonts w:ascii="Georgia" w:cs="Georgia" w:eastAsia="Georgia" w:hAnsi="Georgia"/>
          <w:b/>
          <w:bCs/>
          <w:color w:val="1F3B57"/>
          <w:sz w:val="30"/>
          <w:szCs w:val="30"/>
        </w:rPr>
        <w:t xml:space="preserve">6. The Community Health Endowment Fund</w:t>
      </w:r>
    </w:p>
    <w:p>
      <w:pPr>
        <w:spacing w:after="160" w:line="276"/>
        <w:jc w:val="both"/>
      </w:pPr>
      <w:r>
        <w:rPr>
          <w:rFonts w:ascii="Georgia" w:cs="Georgia" w:eastAsia="Georgia" w:hAnsi="Georgia"/>
          <w:sz w:val="22"/>
          <w:szCs w:val="22"/>
        </w:rPr>
        <w:t xml:space="preserve">At the moral centre of the Nigeria Medicare City stands a promise: commercial success will underwrite care for those who cannot pay. The Community Health Endowment Fund is established as a ring-fenced, independently governed trust receiving a levy on international patient revenue, a covenanted share of campus hospitality and commercial income, and philanthropic contributions — including a standing Diaspora giving channel administered with SOAD, through which Afro-descendant families, churches, fraternities, sororities and associations worldwide endow named beds, wards and scholarships.</w:t>
      </w:r>
    </w:p>
    <w:p>
      <w:pPr>
        <w:spacing w:after="160" w:line="276"/>
        <w:jc w:val="both"/>
      </w:pPr>
      <w:r>
        <w:rPr>
          <w:rFonts w:ascii="Georgia" w:cs="Georgia" w:eastAsia="Georgia" w:hAnsi="Georgia"/>
          <w:sz w:val="22"/>
          <w:szCs w:val="22"/>
        </w:rPr>
        <w:t xml:space="preserve">Its sole purpose is to underwrite subsidized and free care for indigent patients from the host communities of the Federal Capital Territory and beyond, according to transparent eligibility criteria published annually, with audited accounts and beneficiary statistics released each year. The Fund converts NMC's commercial success into a permanent instrument of health equity, is central to the project's social licence, and is a natural platform for partnership with the Office of the Wife of the President of the Federal Republic of Nigeria, whose national advocacy for the health of women, children and vulnerable families the Fund is designed to serve.</w:t>
      </w:r>
    </w:p>
    <w:p>
      <w:pPr>
        <w:pStyle w:val="Heading1"/>
        <w:spacing w:after="200" w:before="360"/>
      </w:pPr>
      <w:r>
        <w:rPr>
          <w:rFonts w:ascii="Georgia" w:cs="Georgia" w:eastAsia="Georgia" w:hAnsi="Georgia"/>
          <w:b/>
          <w:bCs/>
          <w:color w:val="1F3B57"/>
          <w:sz w:val="30"/>
          <w:szCs w:val="30"/>
        </w:rPr>
        <w:t xml:space="preserve">7. Digital Health, Smart City and Sustainability Strategy</w:t>
      </w:r>
    </w:p>
    <w:p>
      <w:pPr>
        <w:pStyle w:val="Heading2"/>
        <w:spacing w:after="140" w:before="260"/>
      </w:pPr>
      <w:r>
        <w:rPr>
          <w:rFonts w:ascii="Georgia" w:cs="Georgia" w:eastAsia="Georgia" w:hAnsi="Georgia"/>
          <w:b/>
          <w:bCs/>
          <w:color w:val="8A6D1F"/>
          <w:sz w:val="25"/>
          <w:szCs w:val="25"/>
        </w:rPr>
        <w:t xml:space="preserve">7.1 Digital-First Operations</w:t>
      </w:r>
    </w:p>
    <w:p>
      <w:pPr>
        <w:pStyle w:val="ListParagraph"/>
        <w:numPr>
          <w:ilvl w:val="0"/>
          <w:numId w:val="2"/>
        </w:numPr>
        <w:spacing w:after="100" w:line="264"/>
        <w:jc w:val="both"/>
      </w:pPr>
      <w:r>
        <w:rPr>
          <w:rFonts w:ascii="Georgia" w:cs="Georgia" w:eastAsia="Georgia" w:hAnsi="Georgia"/>
          <w:sz w:val="22"/>
          <w:szCs w:val="22"/>
        </w:rPr>
        <w:t xml:space="preserve">Fully paperless electronic medical records across every facility from day one, interoperable with national health information systems.</w:t>
      </w:r>
    </w:p>
    <w:p>
      <w:pPr>
        <w:pStyle w:val="ListParagraph"/>
        <w:numPr>
          <w:ilvl w:val="0"/>
          <w:numId w:val="2"/>
        </w:numPr>
        <w:spacing w:after="100" w:line="264"/>
        <w:jc w:val="both"/>
      </w:pPr>
      <w:r>
        <w:rPr>
          <w:rFonts w:ascii="Georgia" w:cs="Georgia" w:eastAsia="Georgia" w:hAnsi="Georgia"/>
          <w:sz w:val="22"/>
          <w:szCs w:val="22"/>
        </w:rPr>
        <w:t xml:space="preserve">AI-assisted hospital operations: intelligent bed management, surgical scheduling, imaging triage, predictive maintenance and revenue-cycle automation.</w:t>
      </w:r>
    </w:p>
    <w:p>
      <w:pPr>
        <w:pStyle w:val="ListParagraph"/>
        <w:numPr>
          <w:ilvl w:val="0"/>
          <w:numId w:val="2"/>
        </w:numPr>
        <w:spacing w:after="100" w:line="264"/>
        <w:jc w:val="both"/>
      </w:pPr>
      <w:r>
        <w:rPr>
          <w:rFonts w:ascii="Georgia" w:cs="Georgia" w:eastAsia="Georgia" w:hAnsi="Georgia"/>
          <w:sz w:val="22"/>
          <w:szCs w:val="22"/>
        </w:rPr>
        <w:t xml:space="preserve">A digital twin of the entire campus for planning, simulation, energy optimization and emergency management.</w:t>
      </w:r>
    </w:p>
    <w:p>
      <w:pPr>
        <w:pStyle w:val="ListParagraph"/>
        <w:numPr>
          <w:ilvl w:val="0"/>
          <w:numId w:val="2"/>
        </w:numPr>
        <w:spacing w:after="100" w:line="264"/>
        <w:jc w:val="both"/>
      </w:pPr>
      <w:r>
        <w:rPr>
          <w:rFonts w:ascii="Georgia" w:cs="Georgia" w:eastAsia="Georgia" w:hAnsi="Georgia"/>
          <w:sz w:val="22"/>
          <w:szCs w:val="22"/>
        </w:rPr>
        <w:t xml:space="preserve">Drone delivery for blood and medications and autonomous logistics vehicles across the campus.</w:t>
      </w:r>
    </w:p>
    <w:p>
      <w:pPr>
        <w:pStyle w:val="ListParagraph"/>
        <w:numPr>
          <w:ilvl w:val="0"/>
          <w:numId w:val="2"/>
        </w:numPr>
        <w:spacing w:after="100" w:line="264"/>
        <w:jc w:val="both"/>
      </w:pPr>
      <w:r>
        <w:rPr>
          <w:rFonts w:ascii="Georgia" w:cs="Georgia" w:eastAsia="Georgia" w:hAnsi="Georgia"/>
          <w:sz w:val="22"/>
          <w:szCs w:val="22"/>
        </w:rPr>
        <w:t xml:space="preserve">Smart wearable patient monitoring within the hospital and for post-discharge and chronic-care populations.</w:t>
      </w:r>
    </w:p>
    <w:p>
      <w:pPr>
        <w:pStyle w:val="ListParagraph"/>
        <w:numPr>
          <w:ilvl w:val="0"/>
          <w:numId w:val="2"/>
        </w:numPr>
        <w:spacing w:after="100" w:line="264"/>
        <w:jc w:val="both"/>
      </w:pPr>
      <w:r>
        <w:rPr>
          <w:rFonts w:ascii="Georgia" w:cs="Georgia" w:eastAsia="Georgia" w:hAnsi="Georgia"/>
          <w:sz w:val="22"/>
          <w:szCs w:val="22"/>
        </w:rPr>
        <w:t xml:space="preserve">A telemedicine command centre projecting specialist capacity into primary care facilities across Nigeria and West Africa — and into Diaspora communities through SOAD's global network.</w:t>
      </w:r>
    </w:p>
    <w:p>
      <w:pPr>
        <w:pStyle w:val="Heading2"/>
        <w:spacing w:after="140" w:before="260"/>
      </w:pPr>
      <w:r>
        <w:rPr>
          <w:rFonts w:ascii="Georgia" w:cs="Georgia" w:eastAsia="Georgia" w:hAnsi="Georgia"/>
          <w:b/>
          <w:bCs/>
          <w:color w:val="8A6D1F"/>
          <w:sz w:val="25"/>
          <w:szCs w:val="25"/>
        </w:rPr>
        <w:t xml:space="preserve">7.2 Smart and Secure City Infrastructure</w:t>
      </w:r>
    </w:p>
    <w:p>
      <w:pPr>
        <w:spacing w:after="160" w:line="276"/>
        <w:jc w:val="both"/>
      </w:pPr>
      <w:r>
        <w:rPr>
          <w:rFonts w:ascii="Georgia" w:cs="Georgia" w:eastAsia="Georgia" w:hAnsi="Georgia"/>
          <w:sz w:val="22"/>
          <w:szCs w:val="22"/>
        </w:rPr>
        <w:t xml:space="preserve">The village operates as a smart city: an ICT data centre; smart CCTV and card-access security integrated with an on-site police post and fire service; underground and multilevel parking; a golf-cart shuttle network and internal electric bus system; and centralized building management across all districts. A dedicated security plan and disaster preparedness plan — covering mass-casualty events, epidemics, fire, flood and civil contingency — are integral deliverables of the project documentation.</w:t>
      </w:r>
    </w:p>
    <w:p>
      <w:pPr>
        <w:pStyle w:val="Heading2"/>
        <w:spacing w:after="140" w:before="260"/>
      </w:pPr>
      <w:r>
        <w:rPr>
          <w:rFonts w:ascii="Georgia" w:cs="Georgia" w:eastAsia="Georgia" w:hAnsi="Georgia"/>
          <w:b/>
          <w:bCs/>
          <w:color w:val="8A6D1F"/>
          <w:sz w:val="25"/>
          <w:szCs w:val="25"/>
        </w:rPr>
        <w:t xml:space="preserve">7.3 Climate-Resilient, Carbon-Conscious Campus</w:t>
      </w:r>
    </w:p>
    <w:p>
      <w:pPr>
        <w:spacing w:after="160" w:line="276"/>
        <w:jc w:val="both"/>
      </w:pPr>
      <w:r>
        <w:rPr>
          <w:rFonts w:ascii="Georgia" w:cs="Georgia" w:eastAsia="Georgia" w:hAnsi="Georgia"/>
          <w:sz w:val="22"/>
          <w:szCs w:val="22"/>
        </w:rPr>
        <w:t xml:space="preserve">Consistent with SOAD's climate-justice campaign and its SDG commitments, NMC is engineered toward carbon neutrality:</w:t>
      </w:r>
    </w:p>
    <w:p>
      <w:pPr>
        <w:pStyle w:val="ListParagraph"/>
        <w:numPr>
          <w:ilvl w:val="0"/>
          <w:numId w:val="2"/>
        </w:numPr>
        <w:spacing w:after="100" w:line="264"/>
        <w:jc w:val="both"/>
      </w:pPr>
      <w:r>
        <w:rPr>
          <w:rFonts w:ascii="Georgia" w:cs="Georgia" w:eastAsia="Georgia" w:hAnsi="Georgia"/>
          <w:sz w:val="22"/>
          <w:szCs w:val="22"/>
        </w:rPr>
        <w:t xml:space="preserve">A renewable energy park (solar photovoltaic plus battery storage) supplemented by biogas from campus organic waste.</w:t>
      </w:r>
    </w:p>
    <w:p>
      <w:pPr>
        <w:pStyle w:val="ListParagraph"/>
        <w:numPr>
          <w:ilvl w:val="0"/>
          <w:numId w:val="2"/>
        </w:numPr>
        <w:spacing w:after="100" w:line="264"/>
        <w:jc w:val="both"/>
      </w:pPr>
      <w:r>
        <w:rPr>
          <w:rFonts w:ascii="Georgia" w:cs="Georgia" w:eastAsia="Georgia" w:hAnsi="Georgia"/>
          <w:sz w:val="22"/>
          <w:szCs w:val="22"/>
        </w:rPr>
        <w:t xml:space="preserve">A water treatment plant, rainwater harvesting and a wastewater recycling plant supplying irrigation and non-potable demand.</w:t>
      </w:r>
    </w:p>
    <w:p>
      <w:pPr>
        <w:pStyle w:val="ListParagraph"/>
        <w:numPr>
          <w:ilvl w:val="0"/>
          <w:numId w:val="2"/>
        </w:numPr>
        <w:spacing w:after="100" w:line="264"/>
        <w:jc w:val="both"/>
      </w:pPr>
      <w:r>
        <w:rPr>
          <w:rFonts w:ascii="Georgia" w:cs="Georgia" w:eastAsia="Georgia" w:hAnsi="Georgia"/>
          <w:sz w:val="22"/>
          <w:szCs w:val="22"/>
        </w:rPr>
        <w:t xml:space="preserve">A dedicated medical waste treatment facility meeting international environmental standards.</w:t>
      </w:r>
    </w:p>
    <w:p>
      <w:pPr>
        <w:pStyle w:val="ListParagraph"/>
        <w:numPr>
          <w:ilvl w:val="0"/>
          <w:numId w:val="2"/>
        </w:numPr>
        <w:spacing w:after="100" w:line="264"/>
        <w:jc w:val="both"/>
      </w:pPr>
      <w:r>
        <w:rPr>
          <w:rFonts w:ascii="Georgia" w:cs="Georgia" w:eastAsia="Georgia" w:hAnsi="Georgia"/>
          <w:sz w:val="22"/>
          <w:szCs w:val="22"/>
        </w:rPr>
        <w:t xml:space="preserve">Climate-resilient infrastructure design: flood-managed landscapes, lakes and green belts, passive cooling and green building standards across the estate.</w:t>
      </w:r>
    </w:p>
    <w:p>
      <w:pPr>
        <w:pStyle w:val="Heading1"/>
        <w:spacing w:after="200" w:before="360"/>
      </w:pPr>
      <w:r>
        <w:rPr>
          <w:rFonts w:ascii="Georgia" w:cs="Georgia" w:eastAsia="Georgia" w:hAnsi="Georgia"/>
          <w:b/>
          <w:bCs/>
          <w:color w:val="1F3B57"/>
          <w:sz w:val="30"/>
          <w:szCs w:val="30"/>
        </w:rPr>
        <w:t xml:space="preserve">8. Financial Highlights and the Diaspora Funding Architecture</w:t>
      </w:r>
    </w:p>
    <w:p>
      <w:pPr>
        <w:spacing w:after="160" w:line="276"/>
        <w:jc w:val="both"/>
      </w:pPr>
      <w:r>
        <w:rPr>
          <w:rFonts w:ascii="Georgia" w:cs="Georgia" w:eastAsia="Georgia" w:hAnsi="Georgia"/>
          <w:sz w:val="22"/>
          <w:szCs w:val="22"/>
        </w:rPr>
        <w:t xml:space="preserve">The figures below are indicative planning estimates at concept stage, presented at the mid-case development scale, and will be refined through the full Financial Feasibility Model, Capital Cost Estimates and 30-Year Revenue Forecast that accompany this Executive Summary. All amounts are in US dollars.</w:t>
      </w:r>
    </w:p>
    <w:p>
      <w:pPr>
        <w:pStyle w:val="Heading2"/>
        <w:spacing w:after="140" w:before="260"/>
      </w:pPr>
      <w:r>
        <w:rPr>
          <w:rFonts w:ascii="Georgia" w:cs="Georgia" w:eastAsia="Georgia" w:hAnsi="Georgia"/>
          <w:b/>
          <w:bCs/>
          <w:color w:val="8A6D1F"/>
          <w:sz w:val="25"/>
          <w:szCs w:val="25"/>
        </w:rPr>
        <w:t xml:space="preserve">8.1 Indicative Capital Cost (Mid-Case: ~US$1.9 Billion)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5200"/>
        <w:gridCol w:w="2200"/>
        <w:gridCol w:w="2200"/>
      </w:tblGrid>
      <w:tr>
        <w:tc>
          <w:tcPr>
            <w:tcW w:type="dxa" w:w="5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Component</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US$ million</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 of total</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Tertiary teaching hospital and specialty institutes (construction and fit-out)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760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40%</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equipment, imaging, robotics and IT systems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340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campus (medical, nursing, allied health, simulation, conference)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140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innovation and biotechnology facilities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residential and commercial districts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11%</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Utilities, renewable energy, water, waste and smart infrastructure</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9.5%</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Roads, landscape, sports village and public realm</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Land, planning, design, project management and owner's costs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3.5%</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Contingency</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(mid-case)</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1,920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r>
    </w:tbl>
    <w:p>
      <w:pPr>
        <w:spacing w:after="120"/>
      </w:pPr>
    </w:p>
    <w:p>
      <w:pPr>
        <w:pStyle w:val="Heading2"/>
        <w:spacing w:after="140" w:before="260"/>
      </w:pPr>
      <w:r>
        <w:rPr>
          <w:rFonts w:ascii="Georgia" w:cs="Georgia" w:eastAsia="Georgia" w:hAnsi="Georgia"/>
          <w:b/>
          <w:bCs/>
          <w:color w:val="8A6D1F"/>
          <w:sz w:val="25"/>
          <w:szCs w:val="25"/>
        </w:rPr>
        <w:t xml:space="preserve">8.2 The SOAD-Anchored Funding Architecture</w:t>
      </w:r>
    </w:p>
    <w:p>
      <w:pPr>
        <w:spacing w:after="160" w:line="276"/>
        <w:jc w:val="both"/>
      </w:pPr>
      <w:r>
        <w:rPr>
          <w:rFonts w:ascii="Georgia" w:cs="Georgia" w:eastAsia="Georgia" w:hAnsi="Georgia"/>
          <w:sz w:val="22"/>
          <w:szCs w:val="22"/>
        </w:rPr>
        <w:t xml:space="preserve">NMC proposes that SOAD serve as anchor funder and chief mobilizer of Diaspora capital, structuring the project's equity and quasi-equity through instruments designed for Diaspora participation at every wealth level:</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2400"/>
        <w:gridCol w:w="28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Instrument</w:t>
            </w:r>
          </w:p>
        </w:tc>
        <w:tc>
          <w:tcPr>
            <w:tcW w:type="dxa" w:w="2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Share</w:t>
            </w:r>
          </w:p>
        </w:tc>
        <w:tc>
          <w:tcPr>
            <w:tcW w:type="dxa" w:w="2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Anchor Investment</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Direct investment and/or funds mobilized by SOAD from its members, partner funds and cooperation agreements — the cornerstone commitment that signals Diaspora ownership</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NMC Diaspora Bond Programme</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15–20%</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SOAD-endorsed, professionally administered bond series in accessible denominations (from US$1,000), marketed through Diaspora churches, associations, fraternities, sororities and professional bodies worldwide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and strategic equity</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Larger Diaspora investors, family offices, healthcare operators and the founding sponsors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Development finance institutions</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20–25%</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AfDB, Afreximbank, IFC, AFC and peers — approached jointly by SOAD and the sponsors, leveraging SOAD's continental partnerships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Commercial and infrastructure debt</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Local and international lenders; naira tranche for local costs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Government in-kind and grants</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Federal and FCT Administration land and infrastructure; federal incentives; climate and philanthropic finance</w:t>
            </w:r>
          </w:p>
        </w:tc>
      </w:tr>
    </w:tbl>
    <w:p>
      <w:pPr>
        <w:spacing w:after="120"/>
      </w:pPr>
    </w:p>
    <w:p>
      <w:pPr>
        <w:spacing w:after="160" w:line="276"/>
        <w:jc w:val="both"/>
      </w:pPr>
      <w:r>
        <w:rPr>
          <w:rFonts w:ascii="Georgia" w:cs="Georgia" w:eastAsia="Georgia" w:hAnsi="Georgia"/>
          <w:sz w:val="22"/>
          <w:szCs w:val="22"/>
        </w:rPr>
        <w:t xml:space="preserve">This architecture gives SOAD a defined, achievable role: it need not finance the village alone, but rather anchor it, endorse it, and unlock it — converting the Diaspora's estimated tens of billions of dollars in annual remittances and savings into structured project capital, under independent trustee administration, audited accounts and investor protections of international standard.</w:t>
      </w:r>
    </w:p>
    <w:p>
      <w:pPr>
        <w:pStyle w:val="Heading2"/>
        <w:spacing w:after="140" w:before="260"/>
      </w:pPr>
      <w:r>
        <w:rPr>
          <w:rFonts w:ascii="Georgia" w:cs="Georgia" w:eastAsia="Georgia" w:hAnsi="Georgia"/>
          <w:b/>
          <w:bCs/>
          <w:color w:val="8A6D1F"/>
          <w:sz w:val="25"/>
          <w:szCs w:val="25"/>
        </w:rPr>
        <w:t xml:space="preserve">8.3 Revenue Streams</w:t>
      </w:r>
    </w:p>
    <w:p>
      <w:pPr>
        <w:pStyle w:val="ListParagraph"/>
        <w:numPr>
          <w:ilvl w:val="0"/>
          <w:numId w:val="2"/>
        </w:numPr>
        <w:spacing w:after="100" w:line="264"/>
        <w:jc w:val="both"/>
      </w:pPr>
      <w:r>
        <w:rPr>
          <w:rFonts w:ascii="Georgia" w:cs="Georgia" w:eastAsia="Georgia" w:hAnsi="Georgia"/>
          <w:sz w:val="22"/>
          <w:szCs w:val="22"/>
        </w:rPr>
        <w:t xml:space="preserve">Clinical services — inpatient, outpatient, surgical, diagnostic, oncology, dialysis, rehabilitation — from private, insured, corporate, government, international and Diaspora patients.</w:t>
      </w:r>
    </w:p>
    <w:p>
      <w:pPr>
        <w:pStyle w:val="ListParagraph"/>
        <w:numPr>
          <w:ilvl w:val="0"/>
          <w:numId w:val="2"/>
        </w:numPr>
        <w:spacing w:after="100" w:line="264"/>
        <w:jc w:val="both"/>
      </w:pPr>
      <w:r>
        <w:rPr>
          <w:rFonts w:ascii="Georgia" w:cs="Georgia" w:eastAsia="Georgia" w:hAnsi="Georgia"/>
          <w:sz w:val="22"/>
          <w:szCs w:val="22"/>
        </w:rPr>
        <w:t xml:space="preserve">Diaspora medical-and-heritage travel packages combining treatment, accommodation, transport, concierge and ancestral tourism.</w:t>
      </w:r>
    </w:p>
    <w:p>
      <w:pPr>
        <w:pStyle w:val="ListParagraph"/>
        <w:numPr>
          <w:ilvl w:val="0"/>
          <w:numId w:val="2"/>
        </w:numPr>
        <w:spacing w:after="100" w:line="264"/>
        <w:jc w:val="both"/>
      </w:pPr>
      <w:r>
        <w:rPr>
          <w:rFonts w:ascii="Georgia" w:cs="Georgia" w:eastAsia="Georgia" w:hAnsi="Georgia"/>
          <w:sz w:val="22"/>
          <w:szCs w:val="22"/>
        </w:rPr>
        <w:t xml:space="preserve">Tuition and training fees from the medical, nursing and allied health institutes and the simulation centre.</w:t>
      </w:r>
    </w:p>
    <w:p>
      <w:pPr>
        <w:pStyle w:val="ListParagraph"/>
        <w:numPr>
          <w:ilvl w:val="0"/>
          <w:numId w:val="2"/>
        </w:numPr>
        <w:spacing w:after="100" w:line="264"/>
        <w:jc w:val="both"/>
      </w:pPr>
      <w:r>
        <w:rPr>
          <w:rFonts w:ascii="Georgia" w:cs="Georgia" w:eastAsia="Georgia" w:hAnsi="Georgia"/>
          <w:sz w:val="22"/>
          <w:szCs w:val="22"/>
        </w:rPr>
        <w:t xml:space="preserve">Research grants, sponsored clinical trials and intellectual property income.</w:t>
      </w:r>
    </w:p>
    <w:p>
      <w:pPr>
        <w:pStyle w:val="ListParagraph"/>
        <w:numPr>
          <w:ilvl w:val="0"/>
          <w:numId w:val="2"/>
        </w:numPr>
        <w:spacing w:after="100" w:line="264"/>
        <w:jc w:val="both"/>
      </w:pPr>
      <w:r>
        <w:rPr>
          <w:rFonts w:ascii="Georgia" w:cs="Georgia" w:eastAsia="Georgia" w:hAnsi="Georgia"/>
          <w:sz w:val="22"/>
          <w:szCs w:val="22"/>
        </w:rPr>
        <w:t xml:space="preserve">Hospitality: hotels, guest houses, conference centre, food and retail leases.</w:t>
      </w:r>
    </w:p>
    <w:p>
      <w:pPr>
        <w:pStyle w:val="ListParagraph"/>
        <w:numPr>
          <w:ilvl w:val="0"/>
          <w:numId w:val="2"/>
        </w:numPr>
        <w:spacing w:after="100" w:line="264"/>
        <w:jc w:val="both"/>
      </w:pPr>
      <w:r>
        <w:rPr>
          <w:rFonts w:ascii="Georgia" w:cs="Georgia" w:eastAsia="Georgia" w:hAnsi="Georgia"/>
          <w:sz w:val="22"/>
          <w:szCs w:val="22"/>
        </w:rPr>
        <w:t xml:space="preserve">Residential rents from staff housing and physicians' residences.</w:t>
      </w:r>
    </w:p>
    <w:p>
      <w:pPr>
        <w:pStyle w:val="ListParagraph"/>
        <w:numPr>
          <w:ilvl w:val="0"/>
          <w:numId w:val="2"/>
        </w:numPr>
        <w:spacing w:after="100" w:line="264"/>
        <w:jc w:val="both"/>
      </w:pPr>
      <w:r>
        <w:rPr>
          <w:rFonts w:ascii="Georgia" w:cs="Georgia" w:eastAsia="Georgia" w:hAnsi="Georgia"/>
          <w:sz w:val="22"/>
          <w:szCs w:val="22"/>
        </w:rPr>
        <w:t xml:space="preserve">Pharmaceutical compounding and manufacturing sales.</w:t>
      </w:r>
    </w:p>
    <w:p>
      <w:pPr>
        <w:pStyle w:val="ListParagraph"/>
        <w:numPr>
          <w:ilvl w:val="0"/>
          <w:numId w:val="2"/>
        </w:numPr>
        <w:spacing w:after="100" w:line="264"/>
        <w:jc w:val="both"/>
      </w:pPr>
      <w:r>
        <w:rPr>
          <w:rFonts w:ascii="Georgia" w:cs="Georgia" w:eastAsia="Georgia" w:hAnsi="Georgia"/>
          <w:sz w:val="22"/>
          <w:szCs w:val="22"/>
        </w:rPr>
        <w:t xml:space="preserve">Utility and infrastructure services, including renewable energy and data-centre capacity.</w:t>
      </w:r>
    </w:p>
    <w:p>
      <w:pPr>
        <w:pStyle w:val="Heading2"/>
        <w:spacing w:after="140" w:before="260"/>
      </w:pPr>
      <w:r>
        <w:rPr>
          <w:rFonts w:ascii="Georgia" w:cs="Georgia" w:eastAsia="Georgia" w:hAnsi="Georgia"/>
          <w:b/>
          <w:bCs/>
          <w:color w:val="8A6D1F"/>
          <w:sz w:val="25"/>
          <w:szCs w:val="25"/>
        </w:rPr>
        <w:t xml:space="preserve">8.4 Indicative 30-Year Financial Outlook (Mid-Case)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3100"/>
        <w:gridCol w:w="31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Indicator</w:t>
            </w:r>
          </w:p>
        </w:tc>
        <w:tc>
          <w:tcPr>
            <w:tcW w:type="dxa" w:w="3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Stabilized Year (Yr 8–10)</w:t>
            </w:r>
          </w:p>
        </w:tc>
        <w:tc>
          <w:tcPr>
            <w:tcW w:type="dxa" w:w="3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Mature Operations (Yr 15+)</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annual revenue</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US$350–450 million</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US$600–800 million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EBITDA margin</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22–28%</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28–34%</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Clinical share of revenue</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~65%</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~55% (diversification)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 IRR (pre-tax, real)</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Base case 14–18%</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bond coupon (target)</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6–8% USD-linked</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Payback period</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10–12 years from Phase 1 opening</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Endowment Fund transfers</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US$2–4 million per annum</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US$5–8 million per annum</w:t>
            </w:r>
          </w:p>
        </w:tc>
      </w:tr>
    </w:tbl>
    <w:p>
      <w:pPr>
        <w:spacing w:after="120"/>
      </w:pPr>
    </w:p>
    <w:p>
      <w:pPr>
        <w:spacing w:after="160" w:line="276"/>
        <w:jc w:val="both"/>
      </w:pPr>
      <w:r>
        <w:rPr>
          <w:rFonts w:ascii="Georgia" w:cs="Georgia" w:eastAsia="Georgia" w:hAnsi="Georgia"/>
          <w:sz w:val="22"/>
          <w:szCs w:val="22"/>
        </w:rPr>
        <w:t xml:space="preserve">The Cash Flow Analysis demonstrates that Phase 1 (hospital core, first institutes, utilities and initial hospitality) reaches operational break-even in years 3–4 after opening, with subsequent phases funded through a blend of retained earnings, further bond series, additional equity and debt drawdowns. Sensitivity analyses across occupancy, tariff, foreign-exchange and construction-cost scenarios are provided in the full Financial Feasibility Model.</w:t>
      </w:r>
    </w:p>
    <w:p>
      <w:pPr>
        <w:pStyle w:val="Heading1"/>
        <w:spacing w:after="200" w:before="360"/>
      </w:pPr>
      <w:r>
        <w:rPr>
          <w:rFonts w:ascii="Georgia" w:cs="Georgia" w:eastAsia="Georgia" w:hAnsi="Georgia"/>
          <w:b/>
          <w:bCs/>
          <w:color w:val="1F3B57"/>
          <w:sz w:val="30"/>
          <w:szCs w:val="30"/>
        </w:rPr>
        <w:t xml:space="preserve">9. Delivery Model: Public–Private–Diaspora Partnership and Governance</w:t>
      </w:r>
    </w:p>
    <w:p>
      <w:pPr>
        <w:pStyle w:val="Heading2"/>
        <w:spacing w:after="140" w:before="260"/>
      </w:pPr>
      <w:r>
        <w:rPr>
          <w:rFonts w:ascii="Georgia" w:cs="Georgia" w:eastAsia="Georgia" w:hAnsi="Georgia"/>
          <w:b/>
          <w:bCs/>
          <w:color w:val="8A6D1F"/>
          <w:sz w:val="25"/>
          <w:szCs w:val="25"/>
        </w:rPr>
        <w:t xml:space="preserve">9.1 The PPDP Structure</w:t>
      </w:r>
    </w:p>
    <w:p>
      <w:pPr>
        <w:spacing w:after="160" w:line="276"/>
        <w:jc w:val="both"/>
      </w:pPr>
      <w:r>
        <w:rPr>
          <w:rFonts w:ascii="Georgia" w:cs="Georgia" w:eastAsia="Georgia" w:hAnsi="Georgia"/>
          <w:sz w:val="22"/>
          <w:szCs w:val="22"/>
        </w:rPr>
        <w:t xml:space="preserve">NMC will be delivered through a Special Purpose Vehicle (SPV) — NMC Development Company — under a Public–Private–Diaspora Partnership (PPDP): an evolution of the classic PPP in which the organized Diaspora, represented by SOAD, stands as a third and co-equal partner alongside government and private capital. The structure aligns with Nigeria's ICRC Act and the concession frameworks of the Federal Capital Territory under a Design–Build–Finance–Operate–Maintain (DBFOM) arrangement in which:</w:t>
      </w:r>
    </w:p>
    <w:p>
      <w:pPr>
        <w:pStyle w:val="ListParagraph"/>
        <w:numPr>
          <w:ilvl w:val="0"/>
          <w:numId w:val="2"/>
        </w:numPr>
        <w:spacing w:after="100" w:line="264"/>
        <w:jc w:val="both"/>
      </w:pPr>
      <w:r>
        <w:rPr>
          <w:rFonts w:ascii="Georgia" w:cs="Georgia" w:eastAsia="Georgia" w:hAnsi="Georgia"/>
          <w:b/>
          <w:bCs/>
          <w:sz w:val="22"/>
          <w:szCs w:val="22"/>
        </w:rPr>
        <w:t xml:space="preserve">The Diaspora partner (SOAD) — </w:t>
      </w:r>
      <w:r>
        <w:rPr>
          <w:rFonts w:ascii="Georgia" w:cs="Georgia" w:eastAsia="Georgia" w:hAnsi="Georgia"/>
          <w:sz w:val="22"/>
          <w:szCs w:val="22"/>
        </w:rPr>
        <w:t xml:space="preserve">SOAD anchors and mobilizes Diaspora capital as set out in Section 8, endorses the project across its diplomatic and institutional network, organizes the Diaspora Medical Corps and twinning programmes, and holds governance seats protecting the Diaspora's investment and the project's social mission.</w:t>
      </w:r>
    </w:p>
    <w:p>
      <w:pPr>
        <w:pStyle w:val="ListParagraph"/>
        <w:numPr>
          <w:ilvl w:val="0"/>
          <w:numId w:val="2"/>
        </w:numPr>
        <w:spacing w:after="100" w:line="264"/>
        <w:jc w:val="both"/>
      </w:pPr>
      <w:r>
        <w:rPr>
          <w:rFonts w:ascii="Georgia" w:cs="Georgia" w:eastAsia="Georgia" w:hAnsi="Georgia"/>
          <w:b/>
          <w:bCs/>
          <w:sz w:val="22"/>
          <w:szCs w:val="22"/>
        </w:rPr>
        <w:t xml:space="preserve">The public partners — </w:t>
      </w:r>
      <w:r>
        <w:rPr>
          <w:rFonts w:ascii="Georgia" w:cs="Georgia" w:eastAsia="Georgia" w:hAnsi="Georgia"/>
          <w:sz w:val="22"/>
          <w:szCs w:val="22"/>
        </w:rPr>
        <w:t xml:space="preserve">The Office of the Wife of the President of the Federal Republic of Nigeria stands as federal champion and convener of the public side of the partnership — with land (clean title and Certificate of Occupancy) and enabling infrastructure delivered through the Federal Capital Territory Administration, in exchange for equity participation and binding social covenants including the Endowment Fund, women's and children's health programmes, and local employment guarantees. The Federal Government is further engaged for customs and duty relief on medical equipment, pioneer-status tax incentives, and inclusion in national referral and insurance frameworks.</w:t>
      </w:r>
    </w:p>
    <w:p>
      <w:pPr>
        <w:pStyle w:val="ListParagraph"/>
        <w:numPr>
          <w:ilvl w:val="0"/>
          <w:numId w:val="2"/>
        </w:numPr>
        <w:spacing w:after="100" w:line="264"/>
        <w:jc w:val="both"/>
      </w:pPr>
      <w:r>
        <w:rPr>
          <w:rFonts w:ascii="Georgia" w:cs="Georgia" w:eastAsia="Georgia" w:hAnsi="Georgia"/>
          <w:b/>
          <w:bCs/>
          <w:sz w:val="22"/>
          <w:szCs w:val="22"/>
        </w:rPr>
        <w:t xml:space="preserve">The private consortium — </w:t>
      </w:r>
      <w:r>
        <w:rPr>
          <w:rFonts w:ascii="Georgia" w:cs="Georgia" w:eastAsia="Georgia" w:hAnsi="Georgia"/>
          <w:sz w:val="22"/>
          <w:szCs w:val="22"/>
        </w:rPr>
        <w:t xml:space="preserve">Healthcare operators, institutional investors and development finance institutions provide the balance of equity and debt, technical operating capability and international clinical affiliations.</w:t>
      </w:r>
    </w:p>
    <w:p>
      <w:pPr>
        <w:pStyle w:val="Heading2"/>
        <w:spacing w:after="140" w:before="260"/>
      </w:pPr>
      <w:r>
        <w:rPr>
          <w:rFonts w:ascii="Georgia" w:cs="Georgia" w:eastAsia="Georgia" w:hAnsi="Georgia"/>
          <w:b/>
          <w:bCs/>
          <w:color w:val="8A6D1F"/>
          <w:sz w:val="25"/>
          <w:szCs w:val="25"/>
        </w:rPr>
        <w:t xml:space="preserve">9.2 Governance</w:t>
      </w:r>
    </w:p>
    <w:p>
      <w:pPr>
        <w:spacing w:after="160" w:line="276"/>
        <w:jc w:val="both"/>
      </w:pPr>
      <w:r>
        <w:rPr>
          <w:rFonts w:ascii="Georgia" w:cs="Georgia" w:eastAsia="Georgia" w:hAnsi="Georgia"/>
          <w:sz w:val="22"/>
          <w:szCs w:val="22"/>
        </w:rPr>
        <w:t xml:space="preserve">The SPV is governed by a Board of Directors combining SOAD nominees, investor representatives, government nominees, independent directors and international clinical governance expertise. Beneath the Board sit an Executive Management team led by a Group Chief Executive; a Medical Advisory Board of international and Diaspora specialists; an independent Clinical Governance and Quality Committee accountable for accreditation standards; an Audit and Risk Committee; and the independent Board of Trustees of the Community Health Endowment Fund, on which SOAD is represented. Diaspora bondholders are protected by an independent trustee, annual audited accounts, and covenanted use-of-proceeds reporting. International hospital management and academic affiliation partners will be contracted for the commissioning and early operating years, with structured skills transfer to Nigerian and Diaspora leadership.</w:t>
      </w:r>
    </w:p>
    <w:p>
      <w:pPr>
        <w:pStyle w:val="Heading1"/>
        <w:spacing w:after="200" w:before="360"/>
      </w:pPr>
      <w:r>
        <w:rPr>
          <w:rFonts w:ascii="Georgia" w:cs="Georgia" w:eastAsia="Georgia" w:hAnsi="Georgia"/>
          <w:b/>
          <w:bCs/>
          <w:color w:val="1F3B57"/>
          <w:sz w:val="30"/>
          <w:szCs w:val="30"/>
        </w:rPr>
        <w:t xml:space="preserve">10. Economic, Social and Diaspora Impact</w:t>
      </w:r>
    </w:p>
    <w:p>
      <w:pPr>
        <w:pStyle w:val="Heading2"/>
        <w:spacing w:after="140" w:before="260"/>
      </w:pPr>
      <w:r>
        <w:rPr>
          <w:rFonts w:ascii="Georgia" w:cs="Georgia" w:eastAsia="Georgia" w:hAnsi="Georgia"/>
          <w:b/>
          <w:bCs/>
          <w:color w:val="8A6D1F"/>
          <w:sz w:val="25"/>
          <w:szCs w:val="25"/>
        </w:rPr>
        <w:t xml:space="preserve">10.1 Economic Impact</w:t>
      </w:r>
    </w:p>
    <w:p>
      <w:pPr>
        <w:pStyle w:val="ListParagraph"/>
        <w:numPr>
          <w:ilvl w:val="0"/>
          <w:numId w:val="2"/>
        </w:numPr>
        <w:spacing w:after="100" w:line="264"/>
        <w:jc w:val="both"/>
      </w:pPr>
      <w:r>
        <w:rPr>
          <w:rFonts w:ascii="Georgia" w:cs="Georgia" w:eastAsia="Georgia" w:hAnsi="Georgia"/>
          <w:sz w:val="22"/>
          <w:szCs w:val="22"/>
        </w:rPr>
        <w:t xml:space="preserve">An estimated 8,000–12,000 construction jobs at peak and 20,000+ direct permanent jobs at full build-out, with 50,000+ indirect and induced jobs across supply chains, transport, housing and services.</w:t>
      </w:r>
    </w:p>
    <w:p>
      <w:pPr>
        <w:pStyle w:val="ListParagraph"/>
        <w:numPr>
          <w:ilvl w:val="0"/>
          <w:numId w:val="2"/>
        </w:numPr>
        <w:spacing w:after="100" w:line="264"/>
        <w:jc w:val="both"/>
      </w:pPr>
      <w:r>
        <w:rPr>
          <w:rFonts w:ascii="Georgia" w:cs="Georgia" w:eastAsia="Georgia" w:hAnsi="Georgia"/>
          <w:sz w:val="22"/>
          <w:szCs w:val="22"/>
        </w:rPr>
        <w:t xml:space="preserve">Retention of hundreds of millions of dollars annually in foreign exchange currently lost to outbound medical travel, plus new foreign-exchange earnings from international patients, students and researchers.</w:t>
      </w:r>
    </w:p>
    <w:p>
      <w:pPr>
        <w:pStyle w:val="ListParagraph"/>
        <w:numPr>
          <w:ilvl w:val="0"/>
          <w:numId w:val="2"/>
        </w:numPr>
        <w:spacing w:after="100" w:line="264"/>
        <w:jc w:val="both"/>
      </w:pPr>
      <w:r>
        <w:rPr>
          <w:rFonts w:ascii="Georgia" w:cs="Georgia" w:eastAsia="Georgia" w:hAnsi="Georgia"/>
          <w:sz w:val="22"/>
          <w:szCs w:val="22"/>
        </w:rPr>
        <w:t xml:space="preserve">Catalysis of ancillary industries: pharmaceuticals, medical consumables, food processing, logistics, hospitality and construction materials.</w:t>
      </w:r>
    </w:p>
    <w:p>
      <w:pPr>
        <w:pStyle w:val="ListParagraph"/>
        <w:numPr>
          <w:ilvl w:val="0"/>
          <w:numId w:val="2"/>
        </w:numPr>
        <w:spacing w:after="100" w:line="264"/>
        <w:jc w:val="both"/>
      </w:pPr>
      <w:r>
        <w:rPr>
          <w:rFonts w:ascii="Georgia" w:cs="Georgia" w:eastAsia="Georgia" w:hAnsi="Georgia"/>
          <w:sz w:val="22"/>
          <w:szCs w:val="22"/>
        </w:rPr>
        <w:t xml:space="preserve">Significant recurring tax and levy revenues to the Federation and the Federal Capital Territory at maturity, alongside land-value appreciation across the capital region.</w:t>
      </w:r>
    </w:p>
    <w:p>
      <w:pPr>
        <w:pStyle w:val="Heading2"/>
        <w:spacing w:after="140" w:before="260"/>
      </w:pPr>
      <w:r>
        <w:rPr>
          <w:rFonts w:ascii="Georgia" w:cs="Georgia" w:eastAsia="Georgia" w:hAnsi="Georgia"/>
          <w:b/>
          <w:bCs/>
          <w:color w:val="8A6D1F"/>
          <w:sz w:val="25"/>
          <w:szCs w:val="25"/>
        </w:rPr>
        <w:t xml:space="preserve">10.2 Social Impact</w:t>
      </w:r>
    </w:p>
    <w:p>
      <w:pPr>
        <w:pStyle w:val="ListParagraph"/>
        <w:numPr>
          <w:ilvl w:val="0"/>
          <w:numId w:val="2"/>
        </w:numPr>
        <w:spacing w:after="100" w:line="264"/>
        <w:jc w:val="both"/>
      </w:pPr>
      <w:r>
        <w:rPr>
          <w:rFonts w:ascii="Georgia" w:cs="Georgia" w:eastAsia="Georgia" w:hAnsi="Georgia"/>
          <w:sz w:val="22"/>
          <w:szCs w:val="22"/>
        </w:rPr>
        <w:t xml:space="preserve">World-class care accessible within Nigeria, with the Endowment Fund guaranteeing access for indigent patients of the host communities.</w:t>
      </w:r>
    </w:p>
    <w:p>
      <w:pPr>
        <w:pStyle w:val="ListParagraph"/>
        <w:numPr>
          <w:ilvl w:val="0"/>
          <w:numId w:val="2"/>
        </w:numPr>
        <w:spacing w:after="100" w:line="264"/>
        <w:jc w:val="both"/>
      </w:pPr>
      <w:r>
        <w:rPr>
          <w:rFonts w:ascii="Georgia" w:cs="Georgia" w:eastAsia="Georgia" w:hAnsi="Georgia"/>
          <w:sz w:val="22"/>
          <w:szCs w:val="22"/>
        </w:rPr>
        <w:t xml:space="preserve">Training of thousands of health professionals, directly countering workforce emigration by creating world-standard careers at home.</w:t>
      </w:r>
    </w:p>
    <w:p>
      <w:pPr>
        <w:pStyle w:val="ListParagraph"/>
        <w:numPr>
          <w:ilvl w:val="0"/>
          <w:numId w:val="2"/>
        </w:numPr>
        <w:spacing w:after="100" w:line="264"/>
        <w:jc w:val="both"/>
      </w:pPr>
      <w:r>
        <w:rPr>
          <w:rFonts w:ascii="Georgia" w:cs="Georgia" w:eastAsia="Georgia" w:hAnsi="Georgia"/>
          <w:sz w:val="22"/>
          <w:szCs w:val="22"/>
        </w:rPr>
        <w:t xml:space="preserve">A national platform for women's, maternal and child health — the Mother &amp; Child, Women's Health and Children's hospitals working with the Office of the Wife of the President on outreach, screening and referral for vulnerable families.</w:t>
      </w:r>
    </w:p>
    <w:p>
      <w:pPr>
        <w:pStyle w:val="ListParagraph"/>
        <w:numPr>
          <w:ilvl w:val="0"/>
          <w:numId w:val="2"/>
        </w:numPr>
        <w:spacing w:after="100" w:line="264"/>
        <w:jc w:val="both"/>
      </w:pPr>
      <w:r>
        <w:rPr>
          <w:rFonts w:ascii="Georgia" w:cs="Georgia" w:eastAsia="Georgia" w:hAnsi="Georgia"/>
          <w:sz w:val="22"/>
          <w:szCs w:val="22"/>
        </w:rPr>
        <w:t xml:space="preserve">Community infrastructure — sports village, wellness park, botanical gardens — open to structured public use.</w:t>
      </w:r>
    </w:p>
    <w:p>
      <w:pPr>
        <w:pStyle w:val="Heading2"/>
        <w:spacing w:after="140" w:before="260"/>
      </w:pPr>
      <w:r>
        <w:rPr>
          <w:rFonts w:ascii="Georgia" w:cs="Georgia" w:eastAsia="Georgia" w:hAnsi="Georgia"/>
          <w:b/>
          <w:bCs/>
          <w:color w:val="8A6D1F"/>
          <w:sz w:val="25"/>
          <w:szCs w:val="25"/>
        </w:rPr>
        <w:t xml:space="preserve">10.3 Impact for the Diaspora and for SOAD</w:t>
      </w:r>
    </w:p>
    <w:p>
      <w:pPr>
        <w:pStyle w:val="ListParagraph"/>
        <w:numPr>
          <w:ilvl w:val="0"/>
          <w:numId w:val="2"/>
        </w:numPr>
        <w:spacing w:after="100" w:line="264"/>
        <w:jc w:val="both"/>
      </w:pPr>
      <w:r>
        <w:rPr>
          <w:rFonts w:ascii="Georgia" w:cs="Georgia" w:eastAsia="Georgia" w:hAnsi="Georgia"/>
          <w:sz w:val="22"/>
          <w:szCs w:val="22"/>
        </w:rPr>
        <w:t xml:space="preserve">A tangible, visitable flagship achievement of the Sixth Region on African soil — the strongest possible demonstration of SOAD's capacity to deliver.</w:t>
      </w:r>
    </w:p>
    <w:p>
      <w:pPr>
        <w:pStyle w:val="ListParagraph"/>
        <w:numPr>
          <w:ilvl w:val="0"/>
          <w:numId w:val="2"/>
        </w:numPr>
        <w:spacing w:after="100" w:line="264"/>
        <w:jc w:val="both"/>
      </w:pPr>
      <w:r>
        <w:rPr>
          <w:rFonts w:ascii="Georgia" w:cs="Georgia" w:eastAsia="Georgia" w:hAnsi="Georgia"/>
          <w:sz w:val="22"/>
          <w:szCs w:val="22"/>
        </w:rPr>
        <w:t xml:space="preserve">A structured return-on-remittance: Diaspora capital that earns, compounds and builds, instead of dissipating in consumption and foreign hospital bills.</w:t>
      </w:r>
    </w:p>
    <w:p>
      <w:pPr>
        <w:pStyle w:val="ListParagraph"/>
        <w:numPr>
          <w:ilvl w:val="0"/>
          <w:numId w:val="2"/>
        </w:numPr>
        <w:spacing w:after="100" w:line="264"/>
        <w:jc w:val="both"/>
      </w:pPr>
      <w:r>
        <w:rPr>
          <w:rFonts w:ascii="Georgia" w:cs="Georgia" w:eastAsia="Georgia" w:hAnsi="Georgia"/>
          <w:sz w:val="22"/>
          <w:szCs w:val="22"/>
        </w:rPr>
        <w:t xml:space="preserve">A professional homecoming platform for thousands of Diaspora clinicians and scientists through the Diaspora Medical Corps.</w:t>
      </w:r>
    </w:p>
    <w:p>
      <w:pPr>
        <w:pStyle w:val="ListParagraph"/>
        <w:numPr>
          <w:ilvl w:val="0"/>
          <w:numId w:val="2"/>
        </w:numPr>
        <w:spacing w:after="100" w:line="264"/>
        <w:jc w:val="both"/>
      </w:pPr>
      <w:r>
        <w:rPr>
          <w:rFonts w:ascii="Georgia" w:cs="Georgia" w:eastAsia="Georgia" w:hAnsi="Georgia"/>
          <w:sz w:val="22"/>
          <w:szCs w:val="22"/>
        </w:rPr>
        <w:t xml:space="preserve">Reserved training places and scholarships connecting Diaspora youth to African careers and identity.</w:t>
      </w:r>
    </w:p>
    <w:p>
      <w:pPr>
        <w:pStyle w:val="ListParagraph"/>
        <w:numPr>
          <w:ilvl w:val="0"/>
          <w:numId w:val="2"/>
        </w:numPr>
        <w:spacing w:after="100" w:line="264"/>
        <w:jc w:val="both"/>
      </w:pPr>
      <w:r>
        <w:rPr>
          <w:rFonts w:ascii="Georgia" w:cs="Georgia" w:eastAsia="Georgia" w:hAnsi="Georgia"/>
          <w:sz w:val="22"/>
          <w:szCs w:val="22"/>
        </w:rPr>
        <w:t xml:space="preserve">A research agenda centred on diseases of the global Black world, from sickle cell to hypertension to maternal health.</w:t>
      </w:r>
    </w:p>
    <w:p>
      <w:pPr>
        <w:pStyle w:val="ListParagraph"/>
        <w:numPr>
          <w:ilvl w:val="0"/>
          <w:numId w:val="2"/>
        </w:numPr>
        <w:spacing w:after="100" w:line="264"/>
        <w:jc w:val="both"/>
      </w:pPr>
      <w:r>
        <w:rPr>
          <w:rFonts w:ascii="Georgia" w:cs="Georgia" w:eastAsia="Georgia" w:hAnsi="Georgia"/>
          <w:sz w:val="22"/>
          <w:szCs w:val="22"/>
        </w:rPr>
        <w:t xml:space="preserve">A replicable template: the NMC model — health city, endowment, Diaspora capital stack — can be reproduced by SOAD across other African states.</w:t>
      </w:r>
    </w:p>
    <w:p>
      <w:pPr>
        <w:pStyle w:val="Heading2"/>
        <w:spacing w:after="140" w:before="260"/>
      </w:pPr>
      <w:r>
        <w:rPr>
          <w:rFonts w:ascii="Georgia" w:cs="Georgia" w:eastAsia="Georgia" w:hAnsi="Georgia"/>
          <w:b/>
          <w:bCs/>
          <w:color w:val="8A6D1F"/>
          <w:sz w:val="25"/>
          <w:szCs w:val="25"/>
        </w:rPr>
        <w:t xml:space="preserve">10.4 Environmental and Social Safeguards</w:t>
      </w:r>
    </w:p>
    <w:p>
      <w:pPr>
        <w:spacing w:after="160" w:line="276"/>
        <w:jc w:val="both"/>
      </w:pPr>
      <w:r>
        <w:rPr>
          <w:rFonts w:ascii="Georgia" w:cs="Georgia" w:eastAsia="Georgia" w:hAnsi="Georgia"/>
          <w:sz w:val="22"/>
          <w:szCs w:val="22"/>
        </w:rPr>
        <w:t xml:space="preserve">A full Environmental and Social Impact Assessment (ESIA) will be undertaken to Nigerian regulatory requirements and IFC Performance Standards, covering land acquisition and livelihoods, biodiversity, water abstraction, construction impacts, medical and hazardous waste, labour standards and community health and safety. A Resettlement and Livelihood Restoration Framework (should any displacement arise), a Community Development Agreement with host communities, and a grievance-redress mechanism are committed components of the project.</w:t>
      </w:r>
    </w:p>
    <w:p>
      <w:pPr>
        <w:pStyle w:val="Heading1"/>
        <w:spacing w:after="200" w:before="360"/>
      </w:pPr>
      <w:r>
        <w:rPr>
          <w:rFonts w:ascii="Georgia" w:cs="Georgia" w:eastAsia="Georgia" w:hAnsi="Georgia"/>
          <w:b/>
          <w:bCs/>
          <w:color w:val="1F3B57"/>
          <w:sz w:val="30"/>
          <w:szCs w:val="30"/>
        </w:rPr>
        <w:t xml:space="preserve">11. Risk Analysis and Mitigation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600"/>
        <w:gridCol w:w="3500"/>
        <w:gridCol w:w="3500"/>
      </w:tblGrid>
      <w:tr>
        <w:tc>
          <w:tcPr>
            <w:tcW w:type="dxa" w:w="2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Risk</w:t>
            </w:r>
          </w:p>
        </w:tc>
        <w:tc>
          <w:tcPr>
            <w:tcW w:type="dxa" w:w="35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c>
          <w:tcPr>
            <w:tcW w:type="dxa" w:w="35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Mitigation</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Financing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Scale of capital; pace of Diaspora bond uptake; interest-rate and FX exposure</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Phased delivery; SOAD anchor commitment before public bond launch; DFI co-anchoring; naira tranche for local costs; hedging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Investor-confidence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savers require trust in governance and use of proceeds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bond trustee; audited accounts; covenanted reporting; SOAD board oversight; internationally regulated administration of the bond programme</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Construction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Cost overrun and delay on a complex programme</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Fixed-price EPC packages; experienced international contractors; independent project management; contingency reserves</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Demand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Slower ramp-up of patient volumes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Pre-signed HMO, corporate and government referral contracts; Diaspora and ECOWAS marketing through SOAD's global network; diversified non-clinical revenues</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Workforce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Specialist scarcity and emigration</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Medical Corps; international recruitment; academic pipeline; globally competitive packages and campus housing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FX and macro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Naira volatility affecting imported equipment and debt service</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Dollar-linked international and Diaspora patient revenue; local sourcing; escrowed FX reserves; DFI political-risk cover</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Political and policy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Changes in government or policy across a long horizon</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Binding PPDP concession with stabilization clauses; multi-party endorsement; ICRC framework compliance; SOAD's continental diplomatic standing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Operational and quality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Failure to achieve international standards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Contracted international operators; JCI accreditation pathway; independent clinical governance committee</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Security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Regional security environment</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Integrated security master plan, on-site police and fire services, smart surveillance, controlled access; insurance</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Environmental/social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Community objection or safeguard failures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Early consultation; Community Development Agreement; Endowment Fund; ESIA and grievance mechanisms</w:t>
            </w:r>
          </w:p>
        </w:tc>
      </w:tr>
    </w:tbl>
    <w:p>
      <w:pPr>
        <w:pStyle w:val="Heading1"/>
        <w:spacing w:after="200" w:before="360"/>
      </w:pPr>
      <w:r>
        <w:rPr>
          <w:rFonts w:ascii="Georgia" w:cs="Georgia" w:eastAsia="Georgia" w:hAnsi="Georgia"/>
          <w:b/>
          <w:bCs/>
          <w:color w:val="1F3B57"/>
          <w:sz w:val="30"/>
          <w:szCs w:val="30"/>
        </w:rPr>
        <w:t xml:space="preserve">12. Implementation Roadmap and Phasing</w:t>
      </w:r>
    </w:p>
    <w:p>
      <w:pPr>
        <w:spacing w:after="160" w:line="276"/>
        <w:jc w:val="both"/>
      </w:pPr>
      <w:r>
        <w:rPr>
          <w:rFonts w:ascii="Georgia" w:cs="Georgia" w:eastAsia="Georgia" w:hAnsi="Georgia"/>
          <w:sz w:val="22"/>
          <w:szCs w:val="22"/>
        </w:rPr>
        <w:t xml:space="preserve">The Construction Phasing Plan sequences delivery to bring revenue online early while managing capital exposure: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000"/>
        <w:gridCol w:w="3600"/>
        <w:gridCol w:w="2200"/>
        <w:gridCol w:w="1800"/>
      </w:tblGrid>
      <w:tr>
        <w:tc>
          <w:tcPr>
            <w:tcW w:type="dxa" w:w="2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Phase</w:t>
            </w:r>
          </w:p>
        </w:tc>
        <w:tc>
          <w:tcPr>
            <w:tcW w:type="dxa" w:w="3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Scope</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Cost</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Timeline</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0</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partnership agreement; land acquisition and title; master planning; ESIA; feasibility; PPDP agreements; Diaspora bond structuring; financial close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US$40–60m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Months 0–18</w:t>
            </w:r>
          </w:p>
        </w:tc>
      </w:tr>
      <w:tr>
        <w:tc>
          <w:tcPr>
            <w:tcW w:type="dxa" w:w="2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w:t>
            </w:r>
          </w:p>
        </w:tc>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Site infrastructure and utilities; 400-bed hospital core; Cancer, Heart and Kidney/Trauma services; diagnostics; first hotel; staff housing; energy and water plants; Diaspora Medical Corps launch</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US$650–800m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1.5–5</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2</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Expansion to 800–1,000 beds; transplant, neuroscience, orthopaedics, mother &amp; child; medical and nursing schools; research institute; second hotel; agro-processing</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US$500–650m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5–9</w:t>
            </w:r>
          </w:p>
        </w:tc>
      </w:tr>
      <w:tr>
        <w:tc>
          <w:tcPr>
            <w:tcW w:type="dxa" w:w="2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3</w:t>
            </w:r>
          </w:p>
        </w:tc>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AI and robotics build-out; biotech incubator; conference centre; sports village; full smart-city systems; remaining hospitality and commercial districts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US$350–500m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9–13</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4</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Optimization, expansion reserves, regional satellite network and SOAD-led replication in other African states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As required</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13+</w:t>
            </w:r>
          </w:p>
        </w:tc>
      </w:tr>
    </w:tbl>
    <w:p>
      <w:pPr>
        <w:spacing w:after="120"/>
      </w:pPr>
    </w:p>
    <w:p>
      <w:pPr>
        <w:pStyle w:val="Heading2"/>
        <w:spacing w:after="140" w:before="260"/>
      </w:pPr>
      <w:r>
        <w:rPr>
          <w:rFonts w:ascii="Georgia" w:cs="Georgia" w:eastAsia="Georgia" w:hAnsi="Georgia"/>
          <w:b/>
          <w:bCs/>
          <w:color w:val="8A6D1F"/>
          <w:sz w:val="25"/>
          <w:szCs w:val="25"/>
        </w:rPr>
        <w:t xml:space="preserve">12.1 Proposed First Steps with SOAD (0–12 Months)</w:t>
      </w:r>
    </w:p>
    <w:p>
      <w:pPr>
        <w:pStyle w:val="ListParagraph"/>
        <w:numPr>
          <w:ilvl w:val="0"/>
          <w:numId w:val="2"/>
        </w:numPr>
        <w:spacing w:after="100" w:line="264"/>
        <w:jc w:val="both"/>
      </w:pPr>
      <w:r>
        <w:rPr>
          <w:rFonts w:ascii="Georgia" w:cs="Georgia" w:eastAsia="Georgia" w:hAnsi="Georgia"/>
          <w:sz w:val="22"/>
          <w:szCs w:val="22"/>
        </w:rPr>
        <w:t xml:space="preserve">Execution of a Memorandum of Understanding between SOAD and the project sponsors establishing SOAD's role as anchor funding partner, Diaspora mobilizer and governance participant.</w:t>
      </w:r>
    </w:p>
    <w:p>
      <w:pPr>
        <w:pStyle w:val="ListParagraph"/>
        <w:numPr>
          <w:ilvl w:val="0"/>
          <w:numId w:val="2"/>
        </w:numPr>
        <w:spacing w:after="100" w:line="264"/>
        <w:jc w:val="both"/>
      </w:pPr>
      <w:r>
        <w:rPr>
          <w:rFonts w:ascii="Georgia" w:cs="Georgia" w:eastAsia="Georgia" w:hAnsi="Georgia"/>
          <w:sz w:val="22"/>
          <w:szCs w:val="22"/>
        </w:rPr>
        <w:t xml:space="preserve">Joint SOAD–sponsor engagement of the Office of the Wife of the President of the Federal Republic of Nigeria and the FCT Administration to conclude the land, incentives and PPDP framework.</w:t>
      </w:r>
    </w:p>
    <w:p>
      <w:pPr>
        <w:pStyle w:val="ListParagraph"/>
        <w:numPr>
          <w:ilvl w:val="0"/>
          <w:numId w:val="2"/>
        </w:numPr>
        <w:spacing w:after="100" w:line="264"/>
        <w:jc w:val="both"/>
      </w:pPr>
      <w:r>
        <w:rPr>
          <w:rFonts w:ascii="Georgia" w:cs="Georgia" w:eastAsia="Georgia" w:hAnsi="Georgia"/>
          <w:sz w:val="22"/>
          <w:szCs w:val="22"/>
        </w:rPr>
        <w:t xml:space="preserve">Commissioning of the full Technical and Financial Feasibility Studies, Medical Master Plan and ESIA.</w:t>
      </w:r>
    </w:p>
    <w:p>
      <w:pPr>
        <w:pStyle w:val="ListParagraph"/>
        <w:numPr>
          <w:ilvl w:val="0"/>
          <w:numId w:val="2"/>
        </w:numPr>
        <w:spacing w:after="100" w:line="264"/>
        <w:jc w:val="both"/>
      </w:pPr>
      <w:r>
        <w:rPr>
          <w:rFonts w:ascii="Georgia" w:cs="Georgia" w:eastAsia="Georgia" w:hAnsi="Georgia"/>
          <w:sz w:val="22"/>
          <w:szCs w:val="22"/>
        </w:rPr>
        <w:t xml:space="preserve">Formation of the NMC Development Company SPV, appointment of transaction advisers, and structuring of the SOAD-endorsed Diaspora Bond Programme with an independent trustee.</w:t>
      </w:r>
    </w:p>
    <w:p>
      <w:pPr>
        <w:pStyle w:val="ListParagraph"/>
        <w:numPr>
          <w:ilvl w:val="0"/>
          <w:numId w:val="2"/>
        </w:numPr>
        <w:spacing w:after="100" w:line="264"/>
        <w:jc w:val="both"/>
      </w:pPr>
      <w:r>
        <w:rPr>
          <w:rFonts w:ascii="Georgia" w:cs="Georgia" w:eastAsia="Georgia" w:hAnsi="Georgia"/>
          <w:sz w:val="22"/>
          <w:szCs w:val="22"/>
        </w:rPr>
        <w:t xml:space="preserve">Launch of the Diaspora Medical Corps register and the global Diaspora investor roadshow through SOAD's network of ministers, ambassadors and partner organisations.</w:t>
      </w:r>
    </w:p>
    <w:p>
      <w:pPr>
        <w:pStyle w:val="ListParagraph"/>
        <w:numPr>
          <w:ilvl w:val="0"/>
          <w:numId w:val="2"/>
        </w:numPr>
        <w:spacing w:after="100" w:line="264"/>
        <w:jc w:val="both"/>
      </w:pPr>
      <w:r>
        <w:rPr>
          <w:rFonts w:ascii="Georgia" w:cs="Georgia" w:eastAsia="Georgia" w:hAnsi="Georgia"/>
          <w:sz w:val="22"/>
          <w:szCs w:val="22"/>
        </w:rPr>
        <w:t xml:space="preserve">Host-community consultation and launch of the Community Development Agreement process.</w:t>
      </w:r>
    </w:p>
    <w:p>
      <w:pPr>
        <w:pStyle w:val="Heading1"/>
        <w:spacing w:after="200" w:before="360"/>
      </w:pPr>
      <w:r>
        <w:rPr>
          <w:rFonts w:ascii="Georgia" w:cs="Georgia" w:eastAsia="Georgia" w:hAnsi="Georgia"/>
          <w:b/>
          <w:bCs/>
          <w:color w:val="1F3B57"/>
          <w:sz w:val="30"/>
          <w:szCs w:val="30"/>
        </w:rPr>
        <w:t xml:space="preserve">13. The Call to the Sixth Region</w:t>
      </w:r>
    </w:p>
    <w:p>
      <w:pPr>
        <w:spacing w:after="160" w:line="276"/>
        <w:jc w:val="both"/>
      </w:pPr>
      <w:r>
        <w:rPr>
          <w:rFonts w:ascii="Georgia" w:cs="Georgia" w:eastAsia="Georgia" w:hAnsi="Georgia"/>
          <w:sz w:val="22"/>
          <w:szCs w:val="22"/>
        </w:rPr>
        <w:t xml:space="preserve">For over four centuries, the African Diaspora has enriched every land except its own. The Nigeria Medicare City offers the State of the African Diaspora the opportunity to change that story with a single, monumental act: to anchor the first Diaspora-owned health city on African soil. For SOAD, NMC is the flagship its mandate calls for — an eco-city built, a health system delivered, a generation trained, and a permanent endowment serving the poor, all under the banner of the Sixth Region. For the Diaspora's families, it is the transformation of remittances into inheritance. For Africa, it is proof that her scattered children build.</w:t>
      </w:r>
    </w:p>
    <w:p>
      <w:pPr>
        <w:spacing w:after="160" w:line="276"/>
        <w:jc w:val="both"/>
      </w:pPr>
      <w:r>
        <w:rPr>
          <w:rFonts w:ascii="Georgia" w:cs="Georgia" w:eastAsia="Georgia" w:hAnsi="Georgia"/>
          <w:sz w:val="22"/>
          <w:szCs w:val="22"/>
        </w:rPr>
        <w:t xml:space="preserve">This Executive Summary is accompanied by a complete documentation suite — Full Business Proposal, Technical Feasibility Study, Medical Master Plan, Architectural and Engineering Concepts, Land Use Plan, Financial Feasibility Model with 30-Year Revenue Forecast and Cash Flow Analysis, Economic and Environmental &amp; Social Impact Assessments, Governance and PPDP frameworks, Investment Prospectus, Risk Analysis, Sustainability Plan, Digital Health and Smart City Strategies, Security and Disaster Preparedness Plans, Construction Phasing, Procurement Strategy, Equipment Lists, Human Resource and Marketing Plans, and the Architectural Master Plan drawings.</w:t>
      </w:r>
    </w:p>
    <w:p>
      <w:pPr>
        <w:spacing w:after="160" w:line="276"/>
        <w:jc w:val="both"/>
      </w:pPr>
      <w:r>
        <w:rPr>
          <w:rFonts w:ascii="Georgia" w:cs="Georgia" w:eastAsia="Georgia" w:hAnsi="Georgia"/>
          <w:sz w:val="22"/>
          <w:szCs w:val="22"/>
        </w:rPr>
        <w:t xml:space="preserve">We respectfully invite the Government and institutions of the State of the African Diaspora to receive this proposal, to appoint a working delegation, and to join us in Abuja — to walk the land together, and to begin building the city of healing that the Sixth Region will call its own.</w:t>
      </w:r>
    </w:p>
    <w:p>
      <w:pPr>
        <w:spacing w:after="120"/>
      </w:pPr>
    </w:p>
    <w:p>
      <w:pPr>
        <w:spacing w:after="60" w:before="300"/>
      </w:pPr>
      <w:r>
        <w:rPr>
          <w:rFonts w:ascii="Georgia" w:cs="Georgia" w:eastAsia="Georgia" w:hAnsi="Georgia"/>
          <w:b/>
          <w:bCs/>
          <w:color w:val="1F3B57"/>
          <w:sz w:val="24"/>
          <w:szCs w:val="24"/>
        </w:rPr>
        <w:t xml:space="preserve">Contact</w:t>
      </w:r>
    </w:p>
    <w:p>
      <w:pPr>
        <w:spacing w:after="160" w:line="276"/>
        <w:jc w:val="both"/>
      </w:pPr>
      <w:r>
        <w:rPr>
          <w:rFonts w:ascii="Georgia" w:cs="Georgia" w:eastAsia="Georgia" w:hAnsi="Georgia"/>
          <w:sz w:val="22"/>
          <w:szCs w:val="22"/>
        </w:rPr>
        <w:t xml:space="preserve">Prepared by: Dr. Korede Olumide Oluwatuyi, MBBS, FWACP (Paediatrics), FISN/IPNA (Calgary), PhD (Public Health, in view)</w:t>
      </w:r>
    </w:p>
    <w:p>
      <w:pPr>
        <w:spacing w:after="160" w:line="276"/>
        <w:jc w:val="both"/>
      </w:pPr>
      <w:r>
        <w:rPr>
          <w:rFonts w:ascii="Georgia" w:cs="Georgia" w:eastAsia="Georgia" w:hAnsi="Georgia"/>
          <w:sz w:val="22"/>
          <w:szCs w:val="22"/>
        </w:rPr>
        <w:t xml:space="preserve">Consultant Paediatric Nephrologist | Senior Lecturer | Health Systems Strategist | Clinical Research Leader | Nigeria Medicare City Development Consultant</w:t>
      </w:r>
    </w:p>
    <w:p>
      <w:pPr>
        <w:spacing w:after="160" w:line="276"/>
        <w:jc w:val="both"/>
      </w:pPr>
      <w:r>
        <w:rPr>
          <w:rFonts w:ascii="Georgia" w:cs="Georgia" w:eastAsia="Georgia" w:hAnsi="Georgia"/>
          <w:sz w:val="22"/>
          <w:szCs w:val="22"/>
        </w:rPr>
        <w:t xml:space="preserve">Abuja, Federal Capital Territory, Nigeria</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Nigeria Medicare City — Executive Summary for the State of the African Diaspora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2026-08-08T23:20:35.407Z</dcterms:created>
  <dcterms:modified xsi:type="dcterms:W3CDTF">2026-08-08T23:20:35.407Z</dcterms:modified>
</cp:coreProperties>
</file>

<file path=docProps/custom.xml><?xml version="1.0" encoding="utf-8"?>
<Properties xmlns="http://schemas.openxmlformats.org/officeDocument/2006/custom-properties" xmlns:vt="http://schemas.openxmlformats.org/officeDocument/2006/docPropsVTypes"/>
</file>